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top w:w="15" w:type="dxa"/>
          <w:left w:w="15" w:type="dxa"/>
          <w:bottom w:w="15" w:type="dxa"/>
          <w:right w:w="15" w:type="dxa"/>
        </w:tblCellMar>
        <w:tblLook w:val="04A0"/>
      </w:tblPr>
      <w:tblGrid>
        <w:gridCol w:w="547"/>
        <w:gridCol w:w="539"/>
        <w:gridCol w:w="29"/>
        <w:gridCol w:w="603"/>
        <w:gridCol w:w="22"/>
        <w:gridCol w:w="454"/>
        <w:gridCol w:w="104"/>
        <w:gridCol w:w="2038"/>
        <w:gridCol w:w="1811"/>
        <w:gridCol w:w="24"/>
        <w:gridCol w:w="939"/>
        <w:gridCol w:w="103"/>
        <w:gridCol w:w="808"/>
        <w:gridCol w:w="43"/>
        <w:gridCol w:w="488"/>
      </w:tblGrid>
      <w:tr w:rsidR="00271CE5" w:rsidRPr="00271CE5" w:rsidTr="00271CE5">
        <w:trPr>
          <w:tblHeader/>
        </w:trPr>
        <w:tc>
          <w:tcPr>
            <w:tcW w:w="8546" w:type="dxa"/>
            <w:gridSpan w:val="15"/>
            <w:tcBorders>
              <w:top w:val="nil"/>
              <w:left w:val="nil"/>
              <w:bottom w:val="nil"/>
              <w:right w:val="nil"/>
            </w:tcBorders>
            <w:shd w:val="clear" w:color="auto" w:fill="auto"/>
            <w:noWrap/>
            <w:tcMar>
              <w:top w:w="150" w:type="dxa"/>
              <w:left w:w="120" w:type="dxa"/>
              <w:bottom w:w="150" w:type="dxa"/>
              <w:right w:w="120" w:type="dxa"/>
            </w:tcMar>
            <w:vAlign w:val="center"/>
            <w:hideMark/>
          </w:tcPr>
          <w:p w:rsidR="00271CE5" w:rsidRPr="00271CE5" w:rsidRDefault="00271CE5" w:rsidP="00271CE5">
            <w:pPr>
              <w:widowControl/>
              <w:spacing w:before="150" w:after="75" w:line="900" w:lineRule="atLeast"/>
              <w:rPr>
                <w:rFonts w:ascii="微軟正黑體" w:eastAsia="微軟正黑體" w:hAnsi="微軟正黑體" w:cs="Arial"/>
                <w:color w:val="000000"/>
                <w:kern w:val="0"/>
                <w:sz w:val="45"/>
                <w:szCs w:val="45"/>
              </w:rPr>
            </w:pPr>
            <w:r w:rsidRPr="00271CE5">
              <w:rPr>
                <w:rFonts w:ascii="微軟正黑體" w:eastAsia="微軟正黑體" w:hAnsi="微軟正黑體" w:cs="Arial" w:hint="eastAsia"/>
                <w:color w:val="000000"/>
                <w:kern w:val="0"/>
                <w:sz w:val="45"/>
                <w:szCs w:val="45"/>
              </w:rPr>
              <w:t xml:space="preserve">國科會 </w:t>
            </w:r>
          </w:p>
        </w:tc>
      </w:tr>
      <w:tr w:rsidR="00271CE5" w:rsidRPr="00271CE5" w:rsidTr="00C50923">
        <w:trPr>
          <w:tblHeader/>
        </w:trPr>
        <w:tc>
          <w:tcPr>
            <w:tcW w:w="546" w:type="dxa"/>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序號</w:t>
            </w:r>
          </w:p>
        </w:tc>
        <w:tc>
          <w:tcPr>
            <w:tcW w:w="538" w:type="dxa"/>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年度</w:t>
            </w:r>
          </w:p>
        </w:tc>
        <w:tc>
          <w:tcPr>
            <w:tcW w:w="654" w:type="dxa"/>
            <w:gridSpan w:val="3"/>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執行單位</w:t>
            </w:r>
          </w:p>
        </w:tc>
        <w:tc>
          <w:tcPr>
            <w:tcW w:w="558" w:type="dxa"/>
            <w:gridSpan w:val="2"/>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主持人</w:t>
            </w:r>
          </w:p>
        </w:tc>
        <w:tc>
          <w:tcPr>
            <w:tcW w:w="2037" w:type="dxa"/>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計畫編號</w:t>
            </w:r>
          </w:p>
        </w:tc>
        <w:tc>
          <w:tcPr>
            <w:tcW w:w="1810" w:type="dxa"/>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計畫名稱</w:t>
            </w:r>
          </w:p>
        </w:tc>
        <w:tc>
          <w:tcPr>
            <w:tcW w:w="962" w:type="dxa"/>
            <w:gridSpan w:val="2"/>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執行期間</w:t>
            </w:r>
          </w:p>
        </w:tc>
        <w:tc>
          <w:tcPr>
            <w:tcW w:w="910" w:type="dxa"/>
            <w:gridSpan w:val="2"/>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核定經費</w:t>
            </w:r>
          </w:p>
        </w:tc>
        <w:tc>
          <w:tcPr>
            <w:tcW w:w="531" w:type="dxa"/>
            <w:gridSpan w:val="2"/>
            <w:shd w:val="clear" w:color="auto" w:fill="101E47"/>
            <w:noWrap/>
            <w:tcMar>
              <w:top w:w="150" w:type="dxa"/>
              <w:left w:w="120" w:type="dxa"/>
              <w:bottom w:w="150" w:type="dxa"/>
              <w:right w:w="120" w:type="dxa"/>
            </w:tcMar>
            <w:hideMark/>
          </w:tcPr>
          <w:p w:rsidR="00271CE5" w:rsidRPr="00271CE5" w:rsidRDefault="00271CE5" w:rsidP="00271CE5">
            <w:pPr>
              <w:widowControl/>
              <w:spacing w:before="150" w:after="75"/>
              <w:rPr>
                <w:rFonts w:ascii="Arial" w:eastAsia="新細明體" w:hAnsi="Arial" w:cs="Arial"/>
                <w:color w:val="FFFFFF"/>
                <w:kern w:val="0"/>
                <w:sz w:val="18"/>
                <w:szCs w:val="18"/>
              </w:rPr>
            </w:pPr>
            <w:r w:rsidRPr="00271CE5">
              <w:rPr>
                <w:rFonts w:ascii="Arial" w:eastAsia="新細明體" w:hAnsi="Arial" w:cs="Arial"/>
                <w:color w:val="FFFFFF"/>
                <w:kern w:val="0"/>
                <w:sz w:val="18"/>
                <w:szCs w:val="18"/>
              </w:rPr>
              <w:t>廠商配合款</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1</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應用經濟學系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耿紹</w:t>
            </w:r>
            <w:proofErr w:type="gramStart"/>
            <w:r w:rsidRPr="00271CE5">
              <w:rPr>
                <w:rFonts w:ascii="Arial" w:eastAsia="新細明體" w:hAnsi="Arial" w:cs="Arial"/>
                <w:color w:val="333333"/>
                <w:kern w:val="0"/>
                <w:sz w:val="18"/>
                <w:szCs w:val="18"/>
              </w:rPr>
              <w:t>勛</w:t>
            </w:r>
            <w:proofErr w:type="gramEnd"/>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96-2415-H-390-001-</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台灣全民健保對老年人勞動參與率，健康與醫療使用行為之實證分析</w:t>
            </w:r>
            <w:r w:rsidRPr="00271CE5">
              <w:rPr>
                <w:rFonts w:ascii="Arial" w:eastAsia="新細明體" w:hAnsi="Arial" w:cs="Arial"/>
                <w:color w:val="333333"/>
                <w:kern w:val="0"/>
                <w:sz w:val="18"/>
                <w:szCs w:val="18"/>
              </w:rPr>
              <w:t>---</w:t>
            </w:r>
            <w:r w:rsidRPr="00271CE5">
              <w:rPr>
                <w:rFonts w:ascii="Arial" w:eastAsia="新細明體" w:hAnsi="Arial" w:cs="Arial"/>
                <w:color w:val="333333"/>
                <w:kern w:val="0"/>
                <w:sz w:val="18"/>
                <w:szCs w:val="18"/>
              </w:rPr>
              <w:t>兩年期研究</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97-10-31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471000</w:t>
            </w:r>
          </w:p>
        </w:tc>
        <w:tc>
          <w:tcPr>
            <w:tcW w:w="531"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2</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應用經濟學系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鄭義暉</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96-2415-H-390-002-</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雙邊貿易流量決定因素之探討</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97-10-31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506000</w:t>
            </w:r>
          </w:p>
        </w:tc>
        <w:tc>
          <w:tcPr>
            <w:tcW w:w="531"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應用經濟學系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翁銘章</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96-2415-H-390-003-</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股利價格比與股票報酬的非線性研究</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388000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4</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亞太工商管理學系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陳一民</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96-2416-H-390-008-MY2</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東亞經濟體公司績效差異來源之研究</w:t>
            </w:r>
            <w:r w:rsidRPr="00271CE5">
              <w:rPr>
                <w:rFonts w:ascii="Arial" w:eastAsia="新細明體" w:hAnsi="Arial" w:cs="Arial"/>
                <w:color w:val="333333"/>
                <w:kern w:val="0"/>
                <w:sz w:val="18"/>
                <w:szCs w:val="18"/>
              </w:rPr>
              <w:t>(1/2)</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98-07-31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468000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5</w:t>
            </w:r>
          </w:p>
        </w:tc>
        <w:tc>
          <w:tcPr>
            <w:tcW w:w="538"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亞太工商管理學系</w:t>
            </w:r>
          </w:p>
        </w:tc>
        <w:tc>
          <w:tcPr>
            <w:tcW w:w="558"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proofErr w:type="gramStart"/>
            <w:r w:rsidRPr="00271CE5">
              <w:rPr>
                <w:rFonts w:ascii="Arial" w:eastAsia="新細明體" w:hAnsi="Arial" w:cs="Arial"/>
                <w:color w:val="333333"/>
                <w:kern w:val="0"/>
                <w:sz w:val="18"/>
                <w:szCs w:val="18"/>
              </w:rPr>
              <w:t>李亭林</w:t>
            </w:r>
            <w:proofErr w:type="gramEnd"/>
          </w:p>
        </w:tc>
        <w:tc>
          <w:tcPr>
            <w:tcW w:w="2037"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96-2416-H-390-011-MY3</w:t>
            </w:r>
          </w:p>
        </w:tc>
        <w:tc>
          <w:tcPr>
            <w:tcW w:w="1810"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台灣資訊電子產業國際代工廠商企業網絡關係之研究</w:t>
            </w:r>
            <w:r w:rsidRPr="00271CE5">
              <w:rPr>
                <w:rFonts w:ascii="Arial" w:eastAsia="新細明體" w:hAnsi="Arial" w:cs="Arial"/>
                <w:color w:val="333333"/>
                <w:kern w:val="0"/>
                <w:sz w:val="18"/>
                <w:szCs w:val="18"/>
              </w:rPr>
              <w:t>(1/3)</w:t>
            </w:r>
          </w:p>
        </w:tc>
        <w:tc>
          <w:tcPr>
            <w:tcW w:w="962"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99-07-31</w:t>
            </w:r>
          </w:p>
        </w:tc>
        <w:tc>
          <w:tcPr>
            <w:tcW w:w="910"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542000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C50923" w:rsidRPr="00271CE5" w:rsidTr="00C50923">
        <w:tc>
          <w:tcPr>
            <w:tcW w:w="546" w:type="dxa"/>
            <w:tcMar>
              <w:top w:w="120" w:type="dxa"/>
              <w:left w:w="120" w:type="dxa"/>
              <w:bottom w:w="120" w:type="dxa"/>
              <w:right w:w="120" w:type="dxa"/>
            </w:tcMar>
            <w:hideMark/>
          </w:tcPr>
          <w:p w:rsidR="00C50923" w:rsidRDefault="00C50923" w:rsidP="00271CE5">
            <w:pPr>
              <w:widowControl/>
              <w:spacing w:before="150" w:after="75"/>
              <w:rPr>
                <w:rFonts w:ascii="Arial" w:eastAsia="新細明體" w:hAnsi="Arial" w:cs="Arial" w:hint="eastAsia"/>
                <w:color w:val="333333"/>
                <w:kern w:val="0"/>
                <w:sz w:val="18"/>
                <w:szCs w:val="18"/>
              </w:rPr>
            </w:pPr>
          </w:p>
          <w:p w:rsidR="00C50923" w:rsidRDefault="00C50923" w:rsidP="00271CE5">
            <w:pPr>
              <w:widowControl/>
              <w:spacing w:before="150" w:after="75"/>
              <w:rPr>
                <w:rFonts w:ascii="Arial" w:eastAsia="新細明體" w:hAnsi="Arial" w:cs="Arial" w:hint="eastAsia"/>
                <w:color w:val="333333"/>
                <w:kern w:val="0"/>
                <w:sz w:val="18"/>
                <w:szCs w:val="18"/>
              </w:rPr>
            </w:pPr>
          </w:p>
          <w:p w:rsidR="00C50923" w:rsidRDefault="00C50923" w:rsidP="00271CE5">
            <w:pPr>
              <w:widowControl/>
              <w:spacing w:before="150" w:after="75"/>
              <w:rPr>
                <w:rFonts w:ascii="Arial" w:eastAsia="新細明體" w:hAnsi="Arial" w:cs="Arial" w:hint="eastAsia"/>
                <w:color w:val="333333"/>
                <w:kern w:val="0"/>
                <w:sz w:val="18"/>
                <w:szCs w:val="18"/>
              </w:rPr>
            </w:pPr>
          </w:p>
        </w:tc>
        <w:tc>
          <w:tcPr>
            <w:tcW w:w="538"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654" w:type="dxa"/>
            <w:gridSpan w:val="3"/>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558"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2037"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1810"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962"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910"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531" w:type="dxa"/>
            <w:gridSpan w:val="2"/>
            <w:vAlign w:val="center"/>
            <w:hideMark/>
          </w:tcPr>
          <w:p w:rsidR="00C50923" w:rsidRPr="00271CE5" w:rsidRDefault="00C50923" w:rsidP="00271CE5">
            <w:pPr>
              <w:widowControl/>
              <w:rPr>
                <w:rFonts w:ascii="Times New Roman" w:eastAsia="Times New Roman" w:hAnsi="Times New Roman" w:cs="Times New Roman"/>
                <w:kern w:val="0"/>
                <w:sz w:val="20"/>
                <w:szCs w:val="20"/>
              </w:rPr>
            </w:pP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6</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亞太工商管理學系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蘇桓彥</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96-2416-H-390-012-MY3</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智慧資本整合型研究計畫</w:t>
            </w:r>
            <w:r w:rsidRPr="00271CE5">
              <w:rPr>
                <w:rFonts w:ascii="Arial" w:eastAsia="新細明體" w:hAnsi="Arial" w:cs="Arial"/>
                <w:color w:val="333333"/>
                <w:kern w:val="0"/>
                <w:sz w:val="18"/>
                <w:szCs w:val="18"/>
              </w:rPr>
              <w:t>(II)</w:t>
            </w:r>
            <w:r w:rsidRPr="00271CE5">
              <w:rPr>
                <w:rFonts w:ascii="Arial" w:eastAsia="新細明體" w:hAnsi="Arial" w:cs="Arial"/>
                <w:color w:val="333333"/>
                <w:kern w:val="0"/>
                <w:sz w:val="18"/>
                <w:szCs w:val="18"/>
              </w:rPr>
              <w:t>－評價與公司價值創造</w:t>
            </w:r>
            <w:r w:rsidRPr="00271CE5">
              <w:rPr>
                <w:rFonts w:ascii="Arial" w:eastAsia="新細明體" w:hAnsi="Arial" w:cs="Arial"/>
                <w:color w:val="333333"/>
                <w:kern w:val="0"/>
                <w:sz w:val="18"/>
                <w:szCs w:val="18"/>
              </w:rPr>
              <w:t>-</w:t>
            </w:r>
            <w:r w:rsidRPr="00271CE5">
              <w:rPr>
                <w:rFonts w:ascii="Arial" w:eastAsia="新細明體" w:hAnsi="Arial" w:cs="Arial"/>
                <w:color w:val="333333"/>
                <w:kern w:val="0"/>
                <w:sz w:val="18"/>
                <w:szCs w:val="18"/>
              </w:rPr>
              <w:t>子計畫四</w:t>
            </w:r>
            <w:r w:rsidRPr="00271CE5">
              <w:rPr>
                <w:rFonts w:ascii="Arial" w:eastAsia="新細明體" w:hAnsi="Arial" w:cs="Arial"/>
                <w:color w:val="333333"/>
                <w:kern w:val="0"/>
                <w:sz w:val="18"/>
                <w:szCs w:val="18"/>
              </w:rPr>
              <w:t xml:space="preserve"> : </w:t>
            </w:r>
            <w:r w:rsidRPr="00271CE5">
              <w:rPr>
                <w:rFonts w:ascii="Arial" w:eastAsia="新細明體" w:hAnsi="Arial" w:cs="Arial"/>
                <w:color w:val="333333"/>
                <w:kern w:val="0"/>
                <w:sz w:val="18"/>
                <w:szCs w:val="18"/>
              </w:rPr>
              <w:t>運用智慧資本提昇企業網絡發展與創新能力之研究</w:t>
            </w:r>
            <w:r w:rsidRPr="00271CE5">
              <w:rPr>
                <w:rFonts w:ascii="Arial" w:eastAsia="新細明體" w:hAnsi="Arial" w:cs="Arial"/>
                <w:color w:val="333333"/>
                <w:kern w:val="0"/>
                <w:sz w:val="18"/>
                <w:szCs w:val="18"/>
              </w:rPr>
              <w:t>(1/3)</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99-07-31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496000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7</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亞太工商管理學系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黃英忠</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96-2416-H-390-015-</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人力資源管理對知識移轉、知識保留及創新的影響</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97-10-31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538000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8</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亞太工商管理學系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莊寶</w:t>
            </w:r>
            <w:proofErr w:type="gramStart"/>
            <w:r w:rsidRPr="00271CE5">
              <w:rPr>
                <w:rFonts w:ascii="Arial" w:eastAsia="新細明體" w:hAnsi="Arial" w:cs="Arial"/>
                <w:color w:val="333333"/>
                <w:kern w:val="0"/>
                <w:sz w:val="18"/>
                <w:szCs w:val="18"/>
              </w:rPr>
              <w:t>鵰</w:t>
            </w:r>
            <w:proofErr w:type="gramEnd"/>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95-2221-E-390-004-MY2</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從品質損失與顧客忠誠度的觀點探討服務失效與補救策略之縱向模式</w:t>
            </w:r>
            <w:r w:rsidRPr="00271CE5">
              <w:rPr>
                <w:rFonts w:ascii="Arial" w:eastAsia="新細明體" w:hAnsi="Arial" w:cs="Arial"/>
                <w:color w:val="333333"/>
                <w:kern w:val="0"/>
                <w:sz w:val="18"/>
                <w:szCs w:val="18"/>
              </w:rPr>
              <w:t>---</w:t>
            </w:r>
            <w:r w:rsidRPr="00271CE5">
              <w:rPr>
                <w:rFonts w:ascii="Arial" w:eastAsia="新細明體" w:hAnsi="Arial" w:cs="Arial"/>
                <w:color w:val="333333"/>
                <w:kern w:val="0"/>
                <w:sz w:val="18"/>
                <w:szCs w:val="18"/>
              </w:rPr>
              <w:t>以航空服務業為研究對象</w:t>
            </w:r>
            <w:r w:rsidRPr="00271CE5">
              <w:rPr>
                <w:rFonts w:ascii="Arial" w:eastAsia="新細明體" w:hAnsi="Arial" w:cs="Arial"/>
                <w:color w:val="333333"/>
                <w:kern w:val="0"/>
                <w:sz w:val="18"/>
                <w:szCs w:val="18"/>
              </w:rPr>
              <w:t>(2/2)</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520000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p>
        </w:tc>
      </w:tr>
      <w:tr w:rsidR="00271CE5" w:rsidRPr="00271CE5" w:rsidTr="00C50923">
        <w:tc>
          <w:tcPr>
            <w:tcW w:w="546"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9</w:t>
            </w:r>
          </w:p>
        </w:tc>
        <w:tc>
          <w:tcPr>
            <w:tcW w:w="538"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金融管理學系</w:t>
            </w:r>
          </w:p>
        </w:tc>
        <w:tc>
          <w:tcPr>
            <w:tcW w:w="558"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黃一祥</w:t>
            </w:r>
          </w:p>
        </w:tc>
        <w:tc>
          <w:tcPr>
            <w:tcW w:w="2037"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96-2416-H-390-009-MY2</w:t>
            </w:r>
          </w:p>
        </w:tc>
        <w:tc>
          <w:tcPr>
            <w:tcW w:w="1810"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台股</w:t>
            </w:r>
            <w:proofErr w:type="gramStart"/>
            <w:r w:rsidRPr="00271CE5">
              <w:rPr>
                <w:rFonts w:ascii="Arial" w:eastAsia="新細明體" w:hAnsi="Arial" w:cs="Arial"/>
                <w:color w:val="333333"/>
                <w:kern w:val="0"/>
                <w:sz w:val="18"/>
                <w:szCs w:val="18"/>
              </w:rPr>
              <w:t>價值溢酬</w:t>
            </w:r>
            <w:proofErr w:type="gramEnd"/>
            <w:r w:rsidRPr="00271CE5">
              <w:rPr>
                <w:rFonts w:ascii="Arial" w:eastAsia="新細明體" w:hAnsi="Arial" w:cs="Arial"/>
                <w:color w:val="333333"/>
                <w:kern w:val="0"/>
                <w:sz w:val="18"/>
                <w:szCs w:val="18"/>
              </w:rPr>
              <w:t>、套利風險、及資本資產評價模式</w:t>
            </w:r>
            <w:proofErr w:type="gramStart"/>
            <w:r w:rsidRPr="00271CE5">
              <w:rPr>
                <w:rFonts w:ascii="Arial" w:eastAsia="新細明體" w:hAnsi="Arial" w:cs="Arial"/>
                <w:color w:val="333333"/>
                <w:kern w:val="0"/>
                <w:sz w:val="18"/>
                <w:szCs w:val="18"/>
              </w:rPr>
              <w:t>─</w:t>
            </w:r>
            <w:proofErr w:type="gramEnd"/>
            <w:r w:rsidRPr="00271CE5">
              <w:rPr>
                <w:rFonts w:ascii="Arial" w:eastAsia="新細明體" w:hAnsi="Arial" w:cs="Arial"/>
                <w:color w:val="333333"/>
                <w:kern w:val="0"/>
                <w:sz w:val="18"/>
                <w:szCs w:val="18"/>
              </w:rPr>
              <w:t>季節行為、股市自由化、及評價模式之詳細內容</w:t>
            </w:r>
            <w:r w:rsidRPr="00271CE5">
              <w:rPr>
                <w:rFonts w:ascii="Arial" w:eastAsia="新細明體" w:hAnsi="Arial" w:cs="Arial"/>
                <w:color w:val="333333"/>
                <w:kern w:val="0"/>
                <w:sz w:val="18"/>
                <w:szCs w:val="18"/>
              </w:rPr>
              <w:t>(1/2)</w:t>
            </w:r>
          </w:p>
        </w:tc>
        <w:tc>
          <w:tcPr>
            <w:tcW w:w="962"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98-07-31</w:t>
            </w:r>
          </w:p>
        </w:tc>
        <w:tc>
          <w:tcPr>
            <w:tcW w:w="910"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345000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C50923" w:rsidRPr="00271CE5" w:rsidTr="00C50923">
        <w:tc>
          <w:tcPr>
            <w:tcW w:w="546" w:type="dxa"/>
            <w:tcMar>
              <w:top w:w="120" w:type="dxa"/>
              <w:left w:w="120" w:type="dxa"/>
              <w:bottom w:w="120" w:type="dxa"/>
              <w:right w:w="120" w:type="dxa"/>
            </w:tcMar>
            <w:hideMark/>
          </w:tcPr>
          <w:p w:rsidR="00C50923" w:rsidRDefault="00C50923" w:rsidP="00271CE5">
            <w:pPr>
              <w:widowControl/>
              <w:spacing w:before="150" w:after="75"/>
              <w:rPr>
                <w:rFonts w:ascii="Arial" w:eastAsia="新細明體" w:hAnsi="Arial" w:cs="Arial" w:hint="eastAsia"/>
                <w:color w:val="333333"/>
                <w:kern w:val="0"/>
                <w:sz w:val="18"/>
                <w:szCs w:val="18"/>
              </w:rPr>
            </w:pPr>
          </w:p>
        </w:tc>
        <w:tc>
          <w:tcPr>
            <w:tcW w:w="538"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654" w:type="dxa"/>
            <w:gridSpan w:val="3"/>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558"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2037"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1810"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962"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910"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531" w:type="dxa"/>
            <w:gridSpan w:val="2"/>
            <w:vAlign w:val="center"/>
            <w:hideMark/>
          </w:tcPr>
          <w:p w:rsidR="00C50923" w:rsidRPr="00271CE5" w:rsidRDefault="00C50923" w:rsidP="00271CE5">
            <w:pPr>
              <w:widowControl/>
              <w:rPr>
                <w:rFonts w:ascii="Times New Roman" w:eastAsia="Times New Roman" w:hAnsi="Times New Roman" w:cs="Times New Roman"/>
                <w:kern w:val="0"/>
                <w:sz w:val="20"/>
                <w:szCs w:val="20"/>
              </w:rPr>
            </w:pP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10</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金融管理學系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高蘭芬</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96-2416-H-390-016-MY2</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控制股東股權</w:t>
            </w:r>
            <w:proofErr w:type="gramStart"/>
            <w:r w:rsidRPr="00271CE5">
              <w:rPr>
                <w:rFonts w:ascii="Arial" w:eastAsia="新細明體" w:hAnsi="Arial" w:cs="Arial"/>
                <w:color w:val="333333"/>
                <w:kern w:val="0"/>
                <w:sz w:val="18"/>
                <w:szCs w:val="18"/>
              </w:rPr>
              <w:t>質押與公司</w:t>
            </w:r>
            <w:proofErr w:type="gramEnd"/>
            <w:r w:rsidRPr="00271CE5">
              <w:rPr>
                <w:rFonts w:ascii="Arial" w:eastAsia="新細明體" w:hAnsi="Arial" w:cs="Arial"/>
                <w:color w:val="333333"/>
                <w:kern w:val="0"/>
                <w:sz w:val="18"/>
                <w:szCs w:val="18"/>
              </w:rPr>
              <w:t>治理之研究</w:t>
            </w:r>
            <w:r w:rsidRPr="00271CE5">
              <w:rPr>
                <w:rFonts w:ascii="Arial" w:eastAsia="新細明體" w:hAnsi="Arial" w:cs="Arial"/>
                <w:color w:val="333333"/>
                <w:kern w:val="0"/>
                <w:sz w:val="18"/>
                <w:szCs w:val="18"/>
              </w:rPr>
              <w:t>(1/2)</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98-07-31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616000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11</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金融管理學系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黃旭輝</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96-2416-H-390-010-</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公司治理對崩盤市場下股價波動性的影響</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354000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12</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金融管理學系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林士貴</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96-2416-H-390-013-</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死亡與財務風險證券化之評價與實證研究</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484000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13</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金融管理學系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張志向</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96-2416-H-390-014-</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價格傳遞效果、波動不對稱性與過度反應</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332000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14</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金融管理學系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proofErr w:type="gramStart"/>
            <w:r w:rsidRPr="00271CE5">
              <w:rPr>
                <w:rFonts w:ascii="Arial" w:eastAsia="新細明體" w:hAnsi="Arial" w:cs="Arial"/>
                <w:color w:val="333333"/>
                <w:kern w:val="0"/>
                <w:sz w:val="18"/>
                <w:szCs w:val="18"/>
              </w:rPr>
              <w:t>余歆</w:t>
            </w:r>
            <w:proofErr w:type="gramEnd"/>
            <w:r w:rsidRPr="00271CE5">
              <w:rPr>
                <w:rFonts w:ascii="Arial" w:eastAsia="新細明體" w:hAnsi="Arial" w:cs="Arial"/>
                <w:color w:val="333333"/>
                <w:kern w:val="0"/>
                <w:sz w:val="18"/>
                <w:szCs w:val="18"/>
              </w:rPr>
              <w:t>儀</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96-2416-H-390-018</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國際化程度與董監事會結構對於高階經理人薪酬之影響</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96-11-01</w:t>
            </w:r>
            <w:r w:rsidRPr="00271CE5">
              <w:rPr>
                <w:rFonts w:ascii="Arial" w:eastAsia="新細明體" w:hAnsi="Arial" w:cs="Arial"/>
                <w:color w:val="333333"/>
                <w:kern w:val="0"/>
                <w:sz w:val="18"/>
                <w:szCs w:val="18"/>
              </w:rPr>
              <w:br/>
              <w:t>97-11-05</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310000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15</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金融管理學系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楊琬如</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96-2415-H-390-005-MY2</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訊息成本</w:t>
            </w:r>
            <w:r w:rsidRPr="00271CE5">
              <w:rPr>
                <w:rFonts w:ascii="Arial" w:eastAsia="新細明體" w:hAnsi="Arial" w:cs="Arial"/>
                <w:color w:val="333333"/>
                <w:kern w:val="0"/>
                <w:sz w:val="18"/>
                <w:szCs w:val="18"/>
              </w:rPr>
              <w:t xml:space="preserve">, </w:t>
            </w:r>
            <w:r w:rsidRPr="00271CE5">
              <w:rPr>
                <w:rFonts w:ascii="Arial" w:eastAsia="新細明體" w:hAnsi="Arial" w:cs="Arial"/>
                <w:color w:val="333333"/>
                <w:kern w:val="0"/>
                <w:sz w:val="18"/>
                <w:szCs w:val="18"/>
              </w:rPr>
              <w:t>群聚行為與銀行擠兌之關係</w:t>
            </w:r>
            <w:r w:rsidRPr="00271CE5">
              <w:rPr>
                <w:rFonts w:ascii="Arial" w:eastAsia="新細明體" w:hAnsi="Arial" w:cs="Arial"/>
                <w:color w:val="333333"/>
                <w:kern w:val="0"/>
                <w:sz w:val="18"/>
                <w:szCs w:val="18"/>
              </w:rPr>
              <w:t>(1/2)</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96-12-01</w:t>
            </w:r>
            <w:r w:rsidRPr="00271CE5">
              <w:rPr>
                <w:rFonts w:ascii="Arial" w:eastAsia="新細明體" w:hAnsi="Arial" w:cs="Arial"/>
                <w:color w:val="333333"/>
                <w:kern w:val="0"/>
                <w:sz w:val="18"/>
                <w:szCs w:val="18"/>
              </w:rPr>
              <w:br/>
              <w:t>98-07-31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383000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1</w:t>
            </w:r>
            <w:r>
              <w:rPr>
                <w:rFonts w:ascii="Arial" w:eastAsia="新細明體" w:hAnsi="Arial" w:cs="Arial" w:hint="eastAsia"/>
                <w:color w:val="333333"/>
                <w:kern w:val="0"/>
                <w:sz w:val="18"/>
                <w:szCs w:val="18"/>
              </w:rPr>
              <w:t>6</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資訊管理學系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陶幼慧</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96-2416-H-390-004-</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科技採用模式之數學型式表達及態度構面之深入探討</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444000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17</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資訊管理學系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吳建興</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96-2416-H-390-005-</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知識創新之研究：探討組織知識文化與</w:t>
            </w:r>
            <w:r w:rsidRPr="00271CE5">
              <w:rPr>
                <w:rFonts w:ascii="Arial" w:eastAsia="新細明體" w:hAnsi="Arial" w:cs="Arial"/>
                <w:color w:val="333333"/>
                <w:kern w:val="0"/>
                <w:sz w:val="18"/>
                <w:szCs w:val="18"/>
              </w:rPr>
              <w:t>Goal-free</w:t>
            </w:r>
            <w:r w:rsidRPr="00271CE5">
              <w:rPr>
                <w:rFonts w:ascii="Arial" w:eastAsia="新細明體" w:hAnsi="Arial" w:cs="Arial"/>
                <w:color w:val="333333"/>
                <w:kern w:val="0"/>
                <w:sz w:val="18"/>
                <w:szCs w:val="18"/>
              </w:rPr>
              <w:t>、</w:t>
            </w:r>
            <w:r w:rsidRPr="00271CE5">
              <w:rPr>
                <w:rFonts w:ascii="Arial" w:eastAsia="新細明體" w:hAnsi="Arial" w:cs="Arial"/>
                <w:color w:val="333333"/>
                <w:kern w:val="0"/>
                <w:sz w:val="18"/>
                <w:szCs w:val="18"/>
              </w:rPr>
              <w:t xml:space="preserve">Goal-driven </w:t>
            </w:r>
            <w:r w:rsidRPr="00271CE5">
              <w:rPr>
                <w:rFonts w:ascii="Arial" w:eastAsia="新細明體" w:hAnsi="Arial" w:cs="Arial"/>
                <w:color w:val="333333"/>
                <w:kern w:val="0"/>
                <w:sz w:val="18"/>
                <w:szCs w:val="18"/>
              </w:rPr>
              <w:t>創新模式之關聯</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448000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18</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資訊管理學系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郭英峰</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96-2416-H-390-006-</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以</w:t>
            </w:r>
            <w:r w:rsidRPr="00271CE5">
              <w:rPr>
                <w:rFonts w:ascii="Arial" w:eastAsia="新細明體" w:hAnsi="Arial" w:cs="Arial"/>
                <w:color w:val="333333"/>
                <w:kern w:val="0"/>
                <w:sz w:val="18"/>
                <w:szCs w:val="18"/>
              </w:rPr>
              <w:t>Kano</w:t>
            </w:r>
            <w:r w:rsidRPr="00271CE5">
              <w:rPr>
                <w:rFonts w:ascii="Arial" w:eastAsia="新細明體" w:hAnsi="Arial" w:cs="Arial"/>
                <w:color w:val="333333"/>
                <w:kern w:val="0"/>
                <w:sz w:val="18"/>
                <w:szCs w:val="18"/>
              </w:rPr>
              <w:t>模式探討行動加值服務之服務品質</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460000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19</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資訊管理學系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蕭漢威</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96-2416-H-390-007-</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部份訓練樣本空間分類預測問題之研究</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97-07-31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371000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20</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資訊管理學系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林杏子</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96-2416-H-390-003-MY2</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以自律規範機制探討不同文化下大學生自陳盜版行為之研究：跨國盜版研究</w:t>
            </w:r>
            <w:r w:rsidRPr="00271CE5">
              <w:rPr>
                <w:rFonts w:ascii="Arial" w:eastAsia="新細明體" w:hAnsi="Arial" w:cs="Arial"/>
                <w:color w:val="333333"/>
                <w:kern w:val="0"/>
                <w:sz w:val="18"/>
                <w:szCs w:val="18"/>
              </w:rPr>
              <w:t>(1/2)</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98-07-31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590000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271CE5" w:rsidRPr="00271CE5" w:rsidTr="00C50923">
        <w:tc>
          <w:tcPr>
            <w:tcW w:w="546"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21</w:t>
            </w:r>
          </w:p>
        </w:tc>
        <w:tc>
          <w:tcPr>
            <w:tcW w:w="538"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資訊管理學系</w:t>
            </w:r>
          </w:p>
        </w:tc>
        <w:tc>
          <w:tcPr>
            <w:tcW w:w="558"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楊書成</w:t>
            </w:r>
          </w:p>
        </w:tc>
        <w:tc>
          <w:tcPr>
            <w:tcW w:w="2037"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96-2416-H-390-017-MY2</w:t>
            </w:r>
          </w:p>
        </w:tc>
        <w:tc>
          <w:tcPr>
            <w:tcW w:w="1810" w:type="dxa"/>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「網路投入」</w:t>
            </w:r>
            <w:proofErr w:type="gramStart"/>
            <w:r w:rsidRPr="00271CE5">
              <w:rPr>
                <w:rFonts w:ascii="Arial" w:eastAsia="新細明體" w:hAnsi="Arial" w:cs="Arial"/>
                <w:color w:val="333333"/>
                <w:kern w:val="0"/>
                <w:sz w:val="18"/>
                <w:szCs w:val="18"/>
              </w:rPr>
              <w:t>的構念發展</w:t>
            </w:r>
            <w:proofErr w:type="gramEnd"/>
            <w:r w:rsidRPr="00271CE5">
              <w:rPr>
                <w:rFonts w:ascii="Arial" w:eastAsia="新細明體" w:hAnsi="Arial" w:cs="Arial"/>
                <w:color w:val="333333"/>
                <w:kern w:val="0"/>
                <w:sz w:val="18"/>
                <w:szCs w:val="18"/>
              </w:rPr>
              <w:t>與探討網路信任形成與持續之研究</w:t>
            </w:r>
            <w:r w:rsidRPr="00271CE5">
              <w:rPr>
                <w:rFonts w:ascii="Arial" w:eastAsia="新細明體" w:hAnsi="Arial" w:cs="Arial"/>
                <w:color w:val="333333"/>
                <w:kern w:val="0"/>
                <w:sz w:val="18"/>
                <w:szCs w:val="18"/>
              </w:rPr>
              <w:t>(1/2)</w:t>
            </w:r>
          </w:p>
        </w:tc>
        <w:tc>
          <w:tcPr>
            <w:tcW w:w="962"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98-07-31</w:t>
            </w:r>
          </w:p>
        </w:tc>
        <w:tc>
          <w:tcPr>
            <w:tcW w:w="910" w:type="dxa"/>
            <w:gridSpan w:val="2"/>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664000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r w:rsidRPr="00271CE5">
              <w:rPr>
                <w:rFonts w:ascii="Times New Roman" w:eastAsia="Times New Roman" w:hAnsi="Times New Roman" w:cs="Times New Roman"/>
                <w:kern w:val="0"/>
                <w:sz w:val="20"/>
                <w:szCs w:val="20"/>
              </w:rPr>
              <w:t> </w:t>
            </w:r>
          </w:p>
        </w:tc>
      </w:tr>
      <w:tr w:rsidR="00C50923" w:rsidRPr="00271CE5" w:rsidTr="00C50923">
        <w:tc>
          <w:tcPr>
            <w:tcW w:w="546" w:type="dxa"/>
            <w:tcMar>
              <w:top w:w="120" w:type="dxa"/>
              <w:left w:w="120" w:type="dxa"/>
              <w:bottom w:w="120" w:type="dxa"/>
              <w:right w:w="120" w:type="dxa"/>
            </w:tcMar>
            <w:hideMark/>
          </w:tcPr>
          <w:p w:rsidR="00C50923" w:rsidRDefault="00C50923" w:rsidP="00271CE5">
            <w:pPr>
              <w:widowControl/>
              <w:spacing w:before="150" w:after="75"/>
              <w:rPr>
                <w:rFonts w:ascii="Arial" w:eastAsia="新細明體" w:hAnsi="Arial" w:cs="Arial" w:hint="eastAsia"/>
                <w:color w:val="333333"/>
                <w:kern w:val="0"/>
                <w:sz w:val="18"/>
                <w:szCs w:val="18"/>
              </w:rPr>
            </w:pPr>
          </w:p>
          <w:p w:rsidR="00C50923" w:rsidRDefault="00C50923" w:rsidP="00271CE5">
            <w:pPr>
              <w:widowControl/>
              <w:spacing w:before="150" w:after="75"/>
              <w:rPr>
                <w:rFonts w:ascii="Arial" w:eastAsia="新細明體" w:hAnsi="Arial" w:cs="Arial" w:hint="eastAsia"/>
                <w:color w:val="333333"/>
                <w:kern w:val="0"/>
                <w:sz w:val="18"/>
                <w:szCs w:val="18"/>
              </w:rPr>
            </w:pPr>
          </w:p>
        </w:tc>
        <w:tc>
          <w:tcPr>
            <w:tcW w:w="538"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654" w:type="dxa"/>
            <w:gridSpan w:val="3"/>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558"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2037"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1810" w:type="dxa"/>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962"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910" w:type="dxa"/>
            <w:gridSpan w:val="2"/>
            <w:tcMar>
              <w:top w:w="120" w:type="dxa"/>
              <w:left w:w="120" w:type="dxa"/>
              <w:bottom w:w="120" w:type="dxa"/>
              <w:right w:w="120" w:type="dxa"/>
            </w:tcMar>
            <w:hideMark/>
          </w:tcPr>
          <w:p w:rsidR="00C50923" w:rsidRPr="00271CE5" w:rsidRDefault="00C50923" w:rsidP="00271CE5">
            <w:pPr>
              <w:widowControl/>
              <w:spacing w:before="150" w:after="75"/>
              <w:rPr>
                <w:rFonts w:ascii="Arial" w:eastAsia="新細明體" w:hAnsi="Arial" w:cs="Arial"/>
                <w:color w:val="333333"/>
                <w:kern w:val="0"/>
                <w:sz w:val="18"/>
                <w:szCs w:val="18"/>
              </w:rPr>
            </w:pPr>
          </w:p>
        </w:tc>
        <w:tc>
          <w:tcPr>
            <w:tcW w:w="531" w:type="dxa"/>
            <w:gridSpan w:val="2"/>
            <w:vAlign w:val="center"/>
            <w:hideMark/>
          </w:tcPr>
          <w:p w:rsidR="00C50923" w:rsidRPr="00271CE5" w:rsidRDefault="00C50923" w:rsidP="00271CE5">
            <w:pPr>
              <w:widowControl/>
              <w:rPr>
                <w:rFonts w:ascii="Times New Roman" w:eastAsia="Times New Roman" w:hAnsi="Times New Roman" w:cs="Times New Roman"/>
                <w:kern w:val="0"/>
                <w:sz w:val="20"/>
                <w:szCs w:val="20"/>
              </w:rPr>
            </w:pPr>
          </w:p>
        </w:tc>
      </w:tr>
      <w:tr w:rsidR="00271CE5" w:rsidRPr="00271CE5" w:rsidTr="00C50923">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22</w:t>
            </w:r>
          </w:p>
        </w:tc>
        <w:tc>
          <w:tcPr>
            <w:tcW w:w="538"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54" w:type="dxa"/>
            <w:gridSpan w:val="3"/>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資訊管理學系</w:t>
            </w:r>
          </w:p>
        </w:tc>
        <w:tc>
          <w:tcPr>
            <w:tcW w:w="558"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楊新章</w:t>
            </w:r>
          </w:p>
        </w:tc>
        <w:tc>
          <w:tcPr>
            <w:tcW w:w="2037"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96-2221-E-390-030-MY2</w:t>
            </w:r>
          </w:p>
        </w:tc>
        <w:tc>
          <w:tcPr>
            <w:tcW w:w="1810"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基於自我組織圖之資料探</w:t>
            </w:r>
            <w:proofErr w:type="gramStart"/>
            <w:r w:rsidRPr="00271CE5">
              <w:rPr>
                <w:rFonts w:ascii="Arial" w:eastAsia="新細明體" w:hAnsi="Arial" w:cs="Arial"/>
                <w:color w:val="333333"/>
                <w:kern w:val="0"/>
                <w:sz w:val="18"/>
                <w:szCs w:val="18"/>
              </w:rPr>
              <w:t>勘</w:t>
            </w:r>
            <w:proofErr w:type="gramEnd"/>
            <w:r w:rsidRPr="00271CE5">
              <w:rPr>
                <w:rFonts w:ascii="Arial" w:eastAsia="新細明體" w:hAnsi="Arial" w:cs="Arial"/>
                <w:color w:val="333333"/>
                <w:kern w:val="0"/>
                <w:sz w:val="18"/>
                <w:szCs w:val="18"/>
              </w:rPr>
              <w:t>技術於自動影像註解之研究</w:t>
            </w:r>
            <w:r w:rsidRPr="00271CE5">
              <w:rPr>
                <w:rFonts w:ascii="Arial" w:eastAsia="新細明體" w:hAnsi="Arial" w:cs="Arial"/>
                <w:color w:val="333333"/>
                <w:kern w:val="0"/>
                <w:sz w:val="18"/>
                <w:szCs w:val="18"/>
              </w:rPr>
              <w:t>(1/2)</w:t>
            </w:r>
          </w:p>
        </w:tc>
        <w:tc>
          <w:tcPr>
            <w:tcW w:w="962"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98-07-31</w:t>
            </w:r>
          </w:p>
        </w:tc>
        <w:tc>
          <w:tcPr>
            <w:tcW w:w="91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545000</w:t>
            </w:r>
          </w:p>
        </w:tc>
        <w:tc>
          <w:tcPr>
            <w:tcW w:w="531" w:type="dxa"/>
            <w:gridSpan w:val="2"/>
            <w:vAlign w:val="center"/>
            <w:hideMark/>
          </w:tcPr>
          <w:p w:rsidR="00271CE5" w:rsidRPr="00271CE5" w:rsidRDefault="00271CE5" w:rsidP="00271CE5">
            <w:pPr>
              <w:widowControl/>
              <w:rPr>
                <w:rFonts w:ascii="Times New Roman" w:eastAsia="Times New Roman" w:hAnsi="Times New Roman" w:cs="Times New Roman"/>
                <w:kern w:val="0"/>
                <w:sz w:val="20"/>
                <w:szCs w:val="20"/>
              </w:rPr>
            </w:pPr>
          </w:p>
        </w:tc>
        <w:bookmarkStart w:id="0" w:name="_GoBack"/>
        <w:bookmarkEnd w:id="0"/>
      </w:tr>
      <w:tr w:rsidR="00271CE5" w:rsidRPr="00271CE5" w:rsidTr="00C50923">
        <w:trPr>
          <w:gridAfter w:val="1"/>
          <w:wAfter w:w="488" w:type="dxa"/>
        </w:trPr>
        <w:tc>
          <w:tcPr>
            <w:tcW w:w="546"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23</w:t>
            </w:r>
          </w:p>
        </w:tc>
        <w:tc>
          <w:tcPr>
            <w:tcW w:w="567"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w:t>
            </w:r>
          </w:p>
        </w:tc>
        <w:tc>
          <w:tcPr>
            <w:tcW w:w="603" w:type="dxa"/>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經營管理研究所</w:t>
            </w:r>
          </w:p>
        </w:tc>
        <w:tc>
          <w:tcPr>
            <w:tcW w:w="476"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李揚</w:t>
            </w:r>
          </w:p>
        </w:tc>
        <w:tc>
          <w:tcPr>
            <w:tcW w:w="2141"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96-2416-H-390-001-MY3</w:t>
            </w:r>
          </w:p>
        </w:tc>
        <w:tc>
          <w:tcPr>
            <w:tcW w:w="1834"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生物科技廠商之總要素生產力研究</w:t>
            </w:r>
            <w:r w:rsidRPr="00271CE5">
              <w:rPr>
                <w:rFonts w:ascii="Arial" w:eastAsia="新細明體" w:hAnsi="Arial" w:cs="Arial"/>
                <w:color w:val="333333"/>
                <w:kern w:val="0"/>
                <w:sz w:val="18"/>
                <w:szCs w:val="18"/>
              </w:rPr>
              <w:t>(1/3)</w:t>
            </w:r>
          </w:p>
        </w:tc>
        <w:tc>
          <w:tcPr>
            <w:tcW w:w="1041"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96-08-01</w:t>
            </w:r>
            <w:r w:rsidRPr="00271CE5">
              <w:rPr>
                <w:rFonts w:ascii="Arial" w:eastAsia="新細明體" w:hAnsi="Arial" w:cs="Arial"/>
                <w:color w:val="333333"/>
                <w:kern w:val="0"/>
                <w:sz w:val="18"/>
                <w:szCs w:val="18"/>
              </w:rPr>
              <w:br/>
              <w:t>99-07-31</w:t>
            </w:r>
          </w:p>
        </w:tc>
        <w:tc>
          <w:tcPr>
            <w:tcW w:w="850" w:type="dxa"/>
            <w:gridSpan w:val="2"/>
            <w:tcBorders>
              <w:bottom w:val="single" w:sz="6" w:space="0" w:color="ECECEC"/>
            </w:tcBorders>
            <w:tcMar>
              <w:top w:w="120" w:type="dxa"/>
              <w:left w:w="120" w:type="dxa"/>
              <w:bottom w:w="120" w:type="dxa"/>
              <w:right w:w="120" w:type="dxa"/>
            </w:tcMar>
            <w:hideMark/>
          </w:tcPr>
          <w:p w:rsidR="00271CE5" w:rsidRPr="00271CE5" w:rsidRDefault="00271CE5" w:rsidP="00271CE5">
            <w:pPr>
              <w:widowControl/>
              <w:spacing w:before="150" w:after="75"/>
              <w:rPr>
                <w:rFonts w:ascii="Arial" w:eastAsia="新細明體" w:hAnsi="Arial" w:cs="Arial"/>
                <w:color w:val="333333"/>
                <w:kern w:val="0"/>
                <w:sz w:val="18"/>
                <w:szCs w:val="18"/>
              </w:rPr>
            </w:pPr>
            <w:r w:rsidRPr="00271CE5">
              <w:rPr>
                <w:rFonts w:ascii="Arial" w:eastAsia="新細明體" w:hAnsi="Arial" w:cs="Arial"/>
                <w:color w:val="333333"/>
                <w:kern w:val="0"/>
                <w:sz w:val="18"/>
                <w:szCs w:val="18"/>
              </w:rPr>
              <w:t>683000</w:t>
            </w:r>
          </w:p>
        </w:tc>
      </w:tr>
    </w:tbl>
    <w:p w:rsidR="00E85BB1" w:rsidRDefault="00E85BB1"/>
    <w:sectPr w:rsidR="00E85BB1" w:rsidSect="00C50923">
      <w:pgSz w:w="11906" w:h="16838"/>
      <w:pgMar w:top="851" w:right="1797" w:bottom="851"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D13" w:rsidRDefault="000B0D13" w:rsidP="00C50923">
      <w:r>
        <w:separator/>
      </w:r>
    </w:p>
  </w:endnote>
  <w:endnote w:type="continuationSeparator" w:id="0">
    <w:p w:rsidR="000B0D13" w:rsidRDefault="000B0D13" w:rsidP="00C509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D13" w:rsidRDefault="000B0D13" w:rsidP="00C50923">
      <w:r>
        <w:separator/>
      </w:r>
    </w:p>
  </w:footnote>
  <w:footnote w:type="continuationSeparator" w:id="0">
    <w:p w:rsidR="000B0D13" w:rsidRDefault="000B0D13" w:rsidP="00C509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71CE5"/>
    <w:rsid w:val="0002344D"/>
    <w:rsid w:val="000374E4"/>
    <w:rsid w:val="0005458E"/>
    <w:rsid w:val="000B0D13"/>
    <w:rsid w:val="000C1B63"/>
    <w:rsid w:val="000F2425"/>
    <w:rsid w:val="00117F50"/>
    <w:rsid w:val="001568C4"/>
    <w:rsid w:val="001C4520"/>
    <w:rsid w:val="002633BC"/>
    <w:rsid w:val="00271CE5"/>
    <w:rsid w:val="003E3CF0"/>
    <w:rsid w:val="003E7FDE"/>
    <w:rsid w:val="004B1776"/>
    <w:rsid w:val="004C7B41"/>
    <w:rsid w:val="00507010"/>
    <w:rsid w:val="005B2EAD"/>
    <w:rsid w:val="005D4FD1"/>
    <w:rsid w:val="00601D54"/>
    <w:rsid w:val="006201C7"/>
    <w:rsid w:val="00621E42"/>
    <w:rsid w:val="006433C1"/>
    <w:rsid w:val="00677B84"/>
    <w:rsid w:val="006931AE"/>
    <w:rsid w:val="00744BFF"/>
    <w:rsid w:val="00803CA3"/>
    <w:rsid w:val="00962C4C"/>
    <w:rsid w:val="00963DB1"/>
    <w:rsid w:val="009E7AB7"/>
    <w:rsid w:val="00A701B8"/>
    <w:rsid w:val="00A76157"/>
    <w:rsid w:val="00BD009F"/>
    <w:rsid w:val="00C142CB"/>
    <w:rsid w:val="00C32074"/>
    <w:rsid w:val="00C34217"/>
    <w:rsid w:val="00C50923"/>
    <w:rsid w:val="00CD08C9"/>
    <w:rsid w:val="00D47045"/>
    <w:rsid w:val="00D70266"/>
    <w:rsid w:val="00D8196A"/>
    <w:rsid w:val="00D81971"/>
    <w:rsid w:val="00D86DB4"/>
    <w:rsid w:val="00E85BB1"/>
    <w:rsid w:val="00E90AE0"/>
    <w:rsid w:val="00F71A1D"/>
    <w:rsid w:val="00F7732D"/>
    <w:rsid w:val="00FD3494"/>
    <w:rsid w:val="00FD60A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D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50923"/>
    <w:pPr>
      <w:tabs>
        <w:tab w:val="center" w:pos="4153"/>
        <w:tab w:val="right" w:pos="8306"/>
      </w:tabs>
      <w:snapToGrid w:val="0"/>
    </w:pPr>
    <w:rPr>
      <w:sz w:val="20"/>
      <w:szCs w:val="20"/>
    </w:rPr>
  </w:style>
  <w:style w:type="character" w:customStyle="1" w:styleId="a4">
    <w:name w:val="頁首 字元"/>
    <w:basedOn w:val="a0"/>
    <w:link w:val="a3"/>
    <w:uiPriority w:val="99"/>
    <w:semiHidden/>
    <w:rsid w:val="00C50923"/>
    <w:rPr>
      <w:sz w:val="20"/>
      <w:szCs w:val="20"/>
    </w:rPr>
  </w:style>
  <w:style w:type="paragraph" w:styleId="a5">
    <w:name w:val="footer"/>
    <w:basedOn w:val="a"/>
    <w:link w:val="a6"/>
    <w:uiPriority w:val="99"/>
    <w:semiHidden/>
    <w:unhideWhenUsed/>
    <w:rsid w:val="00C50923"/>
    <w:pPr>
      <w:tabs>
        <w:tab w:val="center" w:pos="4153"/>
        <w:tab w:val="right" w:pos="8306"/>
      </w:tabs>
      <w:snapToGrid w:val="0"/>
    </w:pPr>
    <w:rPr>
      <w:sz w:val="20"/>
      <w:szCs w:val="20"/>
    </w:rPr>
  </w:style>
  <w:style w:type="character" w:customStyle="1" w:styleId="a6">
    <w:name w:val="頁尾 字元"/>
    <w:basedOn w:val="a0"/>
    <w:link w:val="a5"/>
    <w:uiPriority w:val="99"/>
    <w:semiHidden/>
    <w:rsid w:val="00C5092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196605">
      <w:bodyDiv w:val="1"/>
      <w:marLeft w:val="0"/>
      <w:marRight w:val="0"/>
      <w:marTop w:val="0"/>
      <w:marBottom w:val="0"/>
      <w:divBdr>
        <w:top w:val="none" w:sz="0" w:space="0" w:color="auto"/>
        <w:left w:val="none" w:sz="0" w:space="0" w:color="auto"/>
        <w:bottom w:val="none" w:sz="0" w:space="0" w:color="auto"/>
        <w:right w:val="none" w:sz="0" w:space="0" w:color="auto"/>
      </w:divBdr>
      <w:divsChild>
        <w:div w:id="2091922569">
          <w:marLeft w:val="0"/>
          <w:marRight w:val="0"/>
          <w:marTop w:val="0"/>
          <w:marBottom w:val="0"/>
          <w:divBdr>
            <w:top w:val="none" w:sz="0" w:space="0" w:color="auto"/>
            <w:left w:val="none" w:sz="0" w:space="0" w:color="auto"/>
            <w:bottom w:val="none" w:sz="0" w:space="0" w:color="auto"/>
            <w:right w:val="none" w:sz="0" w:space="0" w:color="auto"/>
          </w:divBdr>
          <w:divsChild>
            <w:div w:id="259995375">
              <w:marLeft w:val="0"/>
              <w:marRight w:val="0"/>
              <w:marTop w:val="0"/>
              <w:marBottom w:val="0"/>
              <w:divBdr>
                <w:top w:val="none" w:sz="0" w:space="0" w:color="auto"/>
                <w:left w:val="none" w:sz="0" w:space="0" w:color="auto"/>
                <w:bottom w:val="none" w:sz="0" w:space="0" w:color="auto"/>
                <w:right w:val="none" w:sz="0" w:space="0" w:color="auto"/>
              </w:divBdr>
              <w:divsChild>
                <w:div w:id="761145824">
                  <w:marLeft w:val="0"/>
                  <w:marRight w:val="0"/>
                  <w:marTop w:val="0"/>
                  <w:marBottom w:val="0"/>
                  <w:divBdr>
                    <w:top w:val="none" w:sz="0" w:space="0" w:color="auto"/>
                    <w:left w:val="none" w:sz="0" w:space="0" w:color="auto"/>
                    <w:bottom w:val="none" w:sz="0" w:space="0" w:color="auto"/>
                    <w:right w:val="none" w:sz="0" w:space="0" w:color="auto"/>
                  </w:divBdr>
                  <w:divsChild>
                    <w:div w:id="1723551203">
                      <w:marLeft w:val="0"/>
                      <w:marRight w:val="0"/>
                      <w:marTop w:val="0"/>
                      <w:marBottom w:val="0"/>
                      <w:divBdr>
                        <w:top w:val="none" w:sz="0" w:space="0" w:color="auto"/>
                        <w:left w:val="none" w:sz="0" w:space="0" w:color="auto"/>
                        <w:bottom w:val="none" w:sz="0" w:space="0" w:color="auto"/>
                        <w:right w:val="none" w:sz="0" w:space="0" w:color="auto"/>
                      </w:divBdr>
                      <w:divsChild>
                        <w:div w:id="1179274415">
                          <w:marLeft w:val="0"/>
                          <w:marRight w:val="0"/>
                          <w:marTop w:val="0"/>
                          <w:marBottom w:val="0"/>
                          <w:divBdr>
                            <w:top w:val="none" w:sz="0" w:space="0" w:color="auto"/>
                            <w:left w:val="none" w:sz="0" w:space="0" w:color="auto"/>
                            <w:bottom w:val="none" w:sz="0" w:space="0" w:color="auto"/>
                            <w:right w:val="none" w:sz="0" w:space="0" w:color="auto"/>
                          </w:divBdr>
                          <w:divsChild>
                            <w:div w:id="1999334756">
                              <w:marLeft w:val="0"/>
                              <w:marRight w:val="0"/>
                              <w:marTop w:val="0"/>
                              <w:marBottom w:val="0"/>
                              <w:divBdr>
                                <w:top w:val="none" w:sz="0" w:space="0" w:color="auto"/>
                                <w:left w:val="none" w:sz="0" w:space="0" w:color="auto"/>
                                <w:bottom w:val="none" w:sz="0" w:space="0" w:color="auto"/>
                                <w:right w:val="none" w:sz="0" w:space="0" w:color="auto"/>
                              </w:divBdr>
                              <w:divsChild>
                                <w:div w:id="123682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917977">
      <w:bodyDiv w:val="1"/>
      <w:marLeft w:val="0"/>
      <w:marRight w:val="0"/>
      <w:marTop w:val="0"/>
      <w:marBottom w:val="0"/>
      <w:divBdr>
        <w:top w:val="none" w:sz="0" w:space="0" w:color="auto"/>
        <w:left w:val="none" w:sz="0" w:space="0" w:color="auto"/>
        <w:bottom w:val="none" w:sz="0" w:space="0" w:color="auto"/>
        <w:right w:val="none" w:sz="0" w:space="0" w:color="auto"/>
      </w:divBdr>
      <w:divsChild>
        <w:div w:id="1486047821">
          <w:marLeft w:val="0"/>
          <w:marRight w:val="0"/>
          <w:marTop w:val="0"/>
          <w:marBottom w:val="0"/>
          <w:divBdr>
            <w:top w:val="none" w:sz="0" w:space="0" w:color="auto"/>
            <w:left w:val="none" w:sz="0" w:space="0" w:color="auto"/>
            <w:bottom w:val="none" w:sz="0" w:space="0" w:color="auto"/>
            <w:right w:val="none" w:sz="0" w:space="0" w:color="auto"/>
          </w:divBdr>
          <w:divsChild>
            <w:div w:id="864749484">
              <w:marLeft w:val="0"/>
              <w:marRight w:val="0"/>
              <w:marTop w:val="0"/>
              <w:marBottom w:val="0"/>
              <w:divBdr>
                <w:top w:val="none" w:sz="0" w:space="0" w:color="auto"/>
                <w:left w:val="none" w:sz="0" w:space="0" w:color="auto"/>
                <w:bottom w:val="none" w:sz="0" w:space="0" w:color="auto"/>
                <w:right w:val="none" w:sz="0" w:space="0" w:color="auto"/>
              </w:divBdr>
              <w:divsChild>
                <w:div w:id="872614954">
                  <w:marLeft w:val="0"/>
                  <w:marRight w:val="0"/>
                  <w:marTop w:val="0"/>
                  <w:marBottom w:val="0"/>
                  <w:divBdr>
                    <w:top w:val="none" w:sz="0" w:space="0" w:color="auto"/>
                    <w:left w:val="none" w:sz="0" w:space="0" w:color="auto"/>
                    <w:bottom w:val="none" w:sz="0" w:space="0" w:color="auto"/>
                    <w:right w:val="none" w:sz="0" w:space="0" w:color="auto"/>
                  </w:divBdr>
                  <w:divsChild>
                    <w:div w:id="512306297">
                      <w:marLeft w:val="0"/>
                      <w:marRight w:val="0"/>
                      <w:marTop w:val="0"/>
                      <w:marBottom w:val="0"/>
                      <w:divBdr>
                        <w:top w:val="none" w:sz="0" w:space="0" w:color="auto"/>
                        <w:left w:val="none" w:sz="0" w:space="0" w:color="auto"/>
                        <w:bottom w:val="none" w:sz="0" w:space="0" w:color="auto"/>
                        <w:right w:val="none" w:sz="0" w:space="0" w:color="auto"/>
                      </w:divBdr>
                      <w:divsChild>
                        <w:div w:id="932738644">
                          <w:marLeft w:val="0"/>
                          <w:marRight w:val="0"/>
                          <w:marTop w:val="0"/>
                          <w:marBottom w:val="0"/>
                          <w:divBdr>
                            <w:top w:val="none" w:sz="0" w:space="0" w:color="auto"/>
                            <w:left w:val="none" w:sz="0" w:space="0" w:color="auto"/>
                            <w:bottom w:val="none" w:sz="0" w:space="0" w:color="auto"/>
                            <w:right w:val="none" w:sz="0" w:space="0" w:color="auto"/>
                          </w:divBdr>
                          <w:divsChild>
                            <w:div w:id="1680502416">
                              <w:marLeft w:val="0"/>
                              <w:marRight w:val="0"/>
                              <w:marTop w:val="0"/>
                              <w:marBottom w:val="0"/>
                              <w:divBdr>
                                <w:top w:val="none" w:sz="0" w:space="0" w:color="auto"/>
                                <w:left w:val="none" w:sz="0" w:space="0" w:color="auto"/>
                                <w:bottom w:val="none" w:sz="0" w:space="0" w:color="auto"/>
                                <w:right w:val="none" w:sz="0" w:space="0" w:color="auto"/>
                              </w:divBdr>
                              <w:divsChild>
                                <w:div w:id="12373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318360">
      <w:bodyDiv w:val="1"/>
      <w:marLeft w:val="0"/>
      <w:marRight w:val="0"/>
      <w:marTop w:val="0"/>
      <w:marBottom w:val="0"/>
      <w:divBdr>
        <w:top w:val="none" w:sz="0" w:space="0" w:color="auto"/>
        <w:left w:val="none" w:sz="0" w:space="0" w:color="auto"/>
        <w:bottom w:val="none" w:sz="0" w:space="0" w:color="auto"/>
        <w:right w:val="none" w:sz="0" w:space="0" w:color="auto"/>
      </w:divBdr>
      <w:divsChild>
        <w:div w:id="1103570734">
          <w:marLeft w:val="0"/>
          <w:marRight w:val="0"/>
          <w:marTop w:val="0"/>
          <w:marBottom w:val="0"/>
          <w:divBdr>
            <w:top w:val="none" w:sz="0" w:space="0" w:color="auto"/>
            <w:left w:val="none" w:sz="0" w:space="0" w:color="auto"/>
            <w:bottom w:val="none" w:sz="0" w:space="0" w:color="auto"/>
            <w:right w:val="none" w:sz="0" w:space="0" w:color="auto"/>
          </w:divBdr>
          <w:divsChild>
            <w:div w:id="1366831426">
              <w:marLeft w:val="0"/>
              <w:marRight w:val="0"/>
              <w:marTop w:val="0"/>
              <w:marBottom w:val="0"/>
              <w:divBdr>
                <w:top w:val="none" w:sz="0" w:space="0" w:color="auto"/>
                <w:left w:val="none" w:sz="0" w:space="0" w:color="auto"/>
                <w:bottom w:val="none" w:sz="0" w:space="0" w:color="auto"/>
                <w:right w:val="none" w:sz="0" w:space="0" w:color="auto"/>
              </w:divBdr>
              <w:divsChild>
                <w:div w:id="204760130">
                  <w:marLeft w:val="0"/>
                  <w:marRight w:val="0"/>
                  <w:marTop w:val="0"/>
                  <w:marBottom w:val="0"/>
                  <w:divBdr>
                    <w:top w:val="none" w:sz="0" w:space="0" w:color="auto"/>
                    <w:left w:val="none" w:sz="0" w:space="0" w:color="auto"/>
                    <w:bottom w:val="none" w:sz="0" w:space="0" w:color="auto"/>
                    <w:right w:val="none" w:sz="0" w:space="0" w:color="auto"/>
                  </w:divBdr>
                  <w:divsChild>
                    <w:div w:id="641732733">
                      <w:marLeft w:val="0"/>
                      <w:marRight w:val="0"/>
                      <w:marTop w:val="0"/>
                      <w:marBottom w:val="0"/>
                      <w:divBdr>
                        <w:top w:val="none" w:sz="0" w:space="0" w:color="auto"/>
                        <w:left w:val="none" w:sz="0" w:space="0" w:color="auto"/>
                        <w:bottom w:val="none" w:sz="0" w:space="0" w:color="auto"/>
                        <w:right w:val="none" w:sz="0" w:space="0" w:color="auto"/>
                      </w:divBdr>
                      <w:divsChild>
                        <w:div w:id="1010831709">
                          <w:marLeft w:val="0"/>
                          <w:marRight w:val="0"/>
                          <w:marTop w:val="0"/>
                          <w:marBottom w:val="0"/>
                          <w:divBdr>
                            <w:top w:val="none" w:sz="0" w:space="0" w:color="auto"/>
                            <w:left w:val="none" w:sz="0" w:space="0" w:color="auto"/>
                            <w:bottom w:val="none" w:sz="0" w:space="0" w:color="auto"/>
                            <w:right w:val="none" w:sz="0" w:space="0" w:color="auto"/>
                          </w:divBdr>
                          <w:divsChild>
                            <w:div w:id="1950965825">
                              <w:marLeft w:val="0"/>
                              <w:marRight w:val="0"/>
                              <w:marTop w:val="0"/>
                              <w:marBottom w:val="0"/>
                              <w:divBdr>
                                <w:top w:val="none" w:sz="0" w:space="0" w:color="auto"/>
                                <w:left w:val="none" w:sz="0" w:space="0" w:color="auto"/>
                                <w:bottom w:val="none" w:sz="0" w:space="0" w:color="auto"/>
                                <w:right w:val="none" w:sz="0" w:space="0" w:color="auto"/>
                              </w:divBdr>
                              <w:divsChild>
                                <w:div w:id="5673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8992">
      <w:bodyDiv w:val="1"/>
      <w:marLeft w:val="0"/>
      <w:marRight w:val="0"/>
      <w:marTop w:val="0"/>
      <w:marBottom w:val="0"/>
      <w:divBdr>
        <w:top w:val="none" w:sz="0" w:space="0" w:color="auto"/>
        <w:left w:val="none" w:sz="0" w:space="0" w:color="auto"/>
        <w:bottom w:val="none" w:sz="0" w:space="0" w:color="auto"/>
        <w:right w:val="none" w:sz="0" w:space="0" w:color="auto"/>
      </w:divBdr>
      <w:divsChild>
        <w:div w:id="1227106781">
          <w:marLeft w:val="0"/>
          <w:marRight w:val="0"/>
          <w:marTop w:val="0"/>
          <w:marBottom w:val="0"/>
          <w:divBdr>
            <w:top w:val="none" w:sz="0" w:space="0" w:color="auto"/>
            <w:left w:val="none" w:sz="0" w:space="0" w:color="auto"/>
            <w:bottom w:val="none" w:sz="0" w:space="0" w:color="auto"/>
            <w:right w:val="none" w:sz="0" w:space="0" w:color="auto"/>
          </w:divBdr>
          <w:divsChild>
            <w:div w:id="1245844954">
              <w:marLeft w:val="0"/>
              <w:marRight w:val="0"/>
              <w:marTop w:val="0"/>
              <w:marBottom w:val="0"/>
              <w:divBdr>
                <w:top w:val="none" w:sz="0" w:space="0" w:color="auto"/>
                <w:left w:val="none" w:sz="0" w:space="0" w:color="auto"/>
                <w:bottom w:val="none" w:sz="0" w:space="0" w:color="auto"/>
                <w:right w:val="none" w:sz="0" w:space="0" w:color="auto"/>
              </w:divBdr>
              <w:divsChild>
                <w:div w:id="105776477">
                  <w:marLeft w:val="0"/>
                  <w:marRight w:val="0"/>
                  <w:marTop w:val="0"/>
                  <w:marBottom w:val="0"/>
                  <w:divBdr>
                    <w:top w:val="none" w:sz="0" w:space="0" w:color="auto"/>
                    <w:left w:val="none" w:sz="0" w:space="0" w:color="auto"/>
                    <w:bottom w:val="none" w:sz="0" w:space="0" w:color="auto"/>
                    <w:right w:val="none" w:sz="0" w:space="0" w:color="auto"/>
                  </w:divBdr>
                  <w:divsChild>
                    <w:div w:id="930744924">
                      <w:marLeft w:val="0"/>
                      <w:marRight w:val="0"/>
                      <w:marTop w:val="0"/>
                      <w:marBottom w:val="0"/>
                      <w:divBdr>
                        <w:top w:val="none" w:sz="0" w:space="0" w:color="auto"/>
                        <w:left w:val="none" w:sz="0" w:space="0" w:color="auto"/>
                        <w:bottom w:val="none" w:sz="0" w:space="0" w:color="auto"/>
                        <w:right w:val="none" w:sz="0" w:space="0" w:color="auto"/>
                      </w:divBdr>
                      <w:divsChild>
                        <w:div w:id="784158984">
                          <w:marLeft w:val="0"/>
                          <w:marRight w:val="0"/>
                          <w:marTop w:val="0"/>
                          <w:marBottom w:val="0"/>
                          <w:divBdr>
                            <w:top w:val="none" w:sz="0" w:space="0" w:color="auto"/>
                            <w:left w:val="none" w:sz="0" w:space="0" w:color="auto"/>
                            <w:bottom w:val="none" w:sz="0" w:space="0" w:color="auto"/>
                            <w:right w:val="none" w:sz="0" w:space="0" w:color="auto"/>
                          </w:divBdr>
                          <w:divsChild>
                            <w:div w:id="1725829069">
                              <w:marLeft w:val="0"/>
                              <w:marRight w:val="0"/>
                              <w:marTop w:val="0"/>
                              <w:marBottom w:val="0"/>
                              <w:divBdr>
                                <w:top w:val="none" w:sz="0" w:space="0" w:color="auto"/>
                                <w:left w:val="none" w:sz="0" w:space="0" w:color="auto"/>
                                <w:bottom w:val="none" w:sz="0" w:space="0" w:color="auto"/>
                                <w:right w:val="none" w:sz="0" w:space="0" w:color="auto"/>
                              </w:divBdr>
                              <w:divsChild>
                                <w:div w:id="39794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482335">
      <w:bodyDiv w:val="1"/>
      <w:marLeft w:val="0"/>
      <w:marRight w:val="0"/>
      <w:marTop w:val="0"/>
      <w:marBottom w:val="0"/>
      <w:divBdr>
        <w:top w:val="none" w:sz="0" w:space="0" w:color="auto"/>
        <w:left w:val="none" w:sz="0" w:space="0" w:color="auto"/>
        <w:bottom w:val="none" w:sz="0" w:space="0" w:color="auto"/>
        <w:right w:val="none" w:sz="0" w:space="0" w:color="auto"/>
      </w:divBdr>
      <w:divsChild>
        <w:div w:id="1803576344">
          <w:marLeft w:val="0"/>
          <w:marRight w:val="0"/>
          <w:marTop w:val="0"/>
          <w:marBottom w:val="0"/>
          <w:divBdr>
            <w:top w:val="none" w:sz="0" w:space="0" w:color="auto"/>
            <w:left w:val="none" w:sz="0" w:space="0" w:color="auto"/>
            <w:bottom w:val="none" w:sz="0" w:space="0" w:color="auto"/>
            <w:right w:val="none" w:sz="0" w:space="0" w:color="auto"/>
          </w:divBdr>
          <w:divsChild>
            <w:div w:id="950433399">
              <w:marLeft w:val="0"/>
              <w:marRight w:val="0"/>
              <w:marTop w:val="0"/>
              <w:marBottom w:val="0"/>
              <w:divBdr>
                <w:top w:val="none" w:sz="0" w:space="0" w:color="auto"/>
                <w:left w:val="none" w:sz="0" w:space="0" w:color="auto"/>
                <w:bottom w:val="none" w:sz="0" w:space="0" w:color="auto"/>
                <w:right w:val="none" w:sz="0" w:space="0" w:color="auto"/>
              </w:divBdr>
              <w:divsChild>
                <w:div w:id="598370056">
                  <w:marLeft w:val="0"/>
                  <w:marRight w:val="0"/>
                  <w:marTop w:val="0"/>
                  <w:marBottom w:val="0"/>
                  <w:divBdr>
                    <w:top w:val="none" w:sz="0" w:space="0" w:color="auto"/>
                    <w:left w:val="none" w:sz="0" w:space="0" w:color="auto"/>
                    <w:bottom w:val="none" w:sz="0" w:space="0" w:color="auto"/>
                    <w:right w:val="none" w:sz="0" w:space="0" w:color="auto"/>
                  </w:divBdr>
                  <w:divsChild>
                    <w:div w:id="1630281901">
                      <w:marLeft w:val="0"/>
                      <w:marRight w:val="0"/>
                      <w:marTop w:val="0"/>
                      <w:marBottom w:val="0"/>
                      <w:divBdr>
                        <w:top w:val="none" w:sz="0" w:space="0" w:color="auto"/>
                        <w:left w:val="none" w:sz="0" w:space="0" w:color="auto"/>
                        <w:bottom w:val="none" w:sz="0" w:space="0" w:color="auto"/>
                        <w:right w:val="none" w:sz="0" w:space="0" w:color="auto"/>
                      </w:divBdr>
                      <w:divsChild>
                        <w:div w:id="256329972">
                          <w:marLeft w:val="0"/>
                          <w:marRight w:val="0"/>
                          <w:marTop w:val="0"/>
                          <w:marBottom w:val="0"/>
                          <w:divBdr>
                            <w:top w:val="none" w:sz="0" w:space="0" w:color="auto"/>
                            <w:left w:val="none" w:sz="0" w:space="0" w:color="auto"/>
                            <w:bottom w:val="none" w:sz="0" w:space="0" w:color="auto"/>
                            <w:right w:val="none" w:sz="0" w:space="0" w:color="auto"/>
                          </w:divBdr>
                          <w:divsChild>
                            <w:div w:id="1333753771">
                              <w:marLeft w:val="0"/>
                              <w:marRight w:val="0"/>
                              <w:marTop w:val="0"/>
                              <w:marBottom w:val="0"/>
                              <w:divBdr>
                                <w:top w:val="none" w:sz="0" w:space="0" w:color="auto"/>
                                <w:left w:val="none" w:sz="0" w:space="0" w:color="auto"/>
                                <w:bottom w:val="none" w:sz="0" w:space="0" w:color="auto"/>
                                <w:right w:val="none" w:sz="0" w:space="0" w:color="auto"/>
                              </w:divBdr>
                              <w:divsChild>
                                <w:div w:id="20186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335</Words>
  <Characters>1910</Characters>
  <Application>Microsoft Office Word</Application>
  <DocSecurity>0</DocSecurity>
  <Lines>15</Lines>
  <Paragraphs>4</Paragraphs>
  <ScaleCrop>false</ScaleCrop>
  <Company>Sky123.Org</Company>
  <LinksUpToDate>false</LinksUpToDate>
  <CharactersWithSpaces>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superuser</cp:lastModifiedBy>
  <cp:revision>2</cp:revision>
  <dcterms:created xsi:type="dcterms:W3CDTF">2014-05-21T06:26:00Z</dcterms:created>
  <dcterms:modified xsi:type="dcterms:W3CDTF">2014-05-21T07:49:00Z</dcterms:modified>
</cp:coreProperties>
</file>