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115" w:type="pct"/>
        <w:shd w:val="clear" w:color="auto" w:fill="FFFFFF"/>
        <w:tblLayout w:type="fixed"/>
        <w:tblCellMar>
          <w:top w:w="15" w:type="dxa"/>
          <w:left w:w="15" w:type="dxa"/>
          <w:bottom w:w="15" w:type="dxa"/>
          <w:right w:w="15" w:type="dxa"/>
        </w:tblCellMar>
        <w:tblLook w:val="04A0"/>
      </w:tblPr>
      <w:tblGrid>
        <w:gridCol w:w="446"/>
        <w:gridCol w:w="37"/>
        <w:gridCol w:w="409"/>
        <w:gridCol w:w="95"/>
        <w:gridCol w:w="56"/>
        <w:gridCol w:w="686"/>
        <w:gridCol w:w="517"/>
        <w:gridCol w:w="326"/>
        <w:gridCol w:w="1657"/>
        <w:gridCol w:w="169"/>
        <w:gridCol w:w="1673"/>
        <w:gridCol w:w="1139"/>
        <w:gridCol w:w="75"/>
        <w:gridCol w:w="845"/>
        <w:gridCol w:w="542"/>
        <w:gridCol w:w="143"/>
        <w:gridCol w:w="197"/>
        <w:gridCol w:w="4858"/>
      </w:tblGrid>
      <w:tr w:rsidR="00535BDF" w:rsidRPr="00535BDF" w:rsidTr="00535BDF">
        <w:trPr>
          <w:gridAfter w:val="1"/>
          <w:wAfter w:w="4855" w:type="dxa"/>
          <w:tblHeader/>
        </w:trPr>
        <w:tc>
          <w:tcPr>
            <w:tcW w:w="9015" w:type="dxa"/>
            <w:gridSpan w:val="17"/>
            <w:tcBorders>
              <w:top w:val="nil"/>
              <w:left w:val="nil"/>
              <w:bottom w:val="nil"/>
              <w:right w:val="nil"/>
            </w:tcBorders>
            <w:shd w:val="clear" w:color="auto" w:fill="auto"/>
            <w:noWrap/>
            <w:tcMar>
              <w:top w:w="150" w:type="dxa"/>
              <w:left w:w="120" w:type="dxa"/>
              <w:bottom w:w="150" w:type="dxa"/>
              <w:right w:w="120" w:type="dxa"/>
            </w:tcMar>
            <w:vAlign w:val="center"/>
            <w:hideMark/>
          </w:tcPr>
          <w:p w:rsidR="00535BDF" w:rsidRPr="00535BDF" w:rsidRDefault="00535BDF" w:rsidP="00535BDF">
            <w:pPr>
              <w:widowControl/>
              <w:spacing w:before="150" w:after="75" w:line="900" w:lineRule="atLeast"/>
              <w:rPr>
                <w:rFonts w:ascii="微軟正黑體" w:eastAsia="微軟正黑體" w:hAnsi="微軟正黑體" w:cs="Arial"/>
                <w:color w:val="000000"/>
                <w:kern w:val="0"/>
                <w:sz w:val="45"/>
                <w:szCs w:val="45"/>
              </w:rPr>
            </w:pPr>
            <w:r w:rsidRPr="00535BDF">
              <w:rPr>
                <w:rFonts w:ascii="微軟正黑體" w:eastAsia="微軟正黑體" w:hAnsi="微軟正黑體" w:cs="Arial" w:hint="eastAsia"/>
                <w:color w:val="000000"/>
                <w:kern w:val="0"/>
                <w:sz w:val="45"/>
                <w:szCs w:val="45"/>
              </w:rPr>
              <w:t>國科會</w:t>
            </w:r>
          </w:p>
        </w:tc>
      </w:tr>
      <w:tr w:rsidR="00535BDF" w:rsidRPr="00535BDF" w:rsidTr="00535BDF">
        <w:trPr>
          <w:gridAfter w:val="1"/>
          <w:wAfter w:w="4855" w:type="dxa"/>
          <w:tblHeader/>
        </w:trPr>
        <w:tc>
          <w:tcPr>
            <w:tcW w:w="447" w:type="dxa"/>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序號</w:t>
            </w:r>
          </w:p>
        </w:tc>
        <w:tc>
          <w:tcPr>
            <w:tcW w:w="446" w:type="dxa"/>
            <w:gridSpan w:val="2"/>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年度</w:t>
            </w:r>
          </w:p>
        </w:tc>
        <w:tc>
          <w:tcPr>
            <w:tcW w:w="837" w:type="dxa"/>
            <w:gridSpan w:val="3"/>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執行單位</w:t>
            </w:r>
          </w:p>
        </w:tc>
        <w:tc>
          <w:tcPr>
            <w:tcW w:w="843" w:type="dxa"/>
            <w:gridSpan w:val="2"/>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主持人</w:t>
            </w:r>
          </w:p>
        </w:tc>
        <w:tc>
          <w:tcPr>
            <w:tcW w:w="1827" w:type="dxa"/>
            <w:gridSpan w:val="2"/>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計畫編號</w:t>
            </w:r>
          </w:p>
        </w:tc>
        <w:tc>
          <w:tcPr>
            <w:tcW w:w="1674" w:type="dxa"/>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計畫名稱</w:t>
            </w:r>
          </w:p>
        </w:tc>
        <w:tc>
          <w:tcPr>
            <w:tcW w:w="1214" w:type="dxa"/>
            <w:gridSpan w:val="2"/>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執行期間</w:t>
            </w:r>
          </w:p>
        </w:tc>
        <w:tc>
          <w:tcPr>
            <w:tcW w:w="845" w:type="dxa"/>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核定經費</w:t>
            </w:r>
          </w:p>
        </w:tc>
        <w:tc>
          <w:tcPr>
            <w:tcW w:w="882" w:type="dxa"/>
            <w:gridSpan w:val="3"/>
            <w:shd w:val="clear" w:color="auto" w:fill="101E47"/>
            <w:noWrap/>
            <w:tcMar>
              <w:top w:w="150" w:type="dxa"/>
              <w:left w:w="120" w:type="dxa"/>
              <w:bottom w:w="150" w:type="dxa"/>
              <w:right w:w="120" w:type="dxa"/>
            </w:tcMar>
            <w:hideMark/>
          </w:tcPr>
          <w:p w:rsidR="00535BDF" w:rsidRPr="00535BDF" w:rsidRDefault="00535BDF" w:rsidP="00535BDF">
            <w:pPr>
              <w:widowControl/>
              <w:rPr>
                <w:rFonts w:ascii="Arial" w:eastAsia="新細明體" w:hAnsi="Arial" w:cs="Arial"/>
                <w:color w:val="FFFFFF"/>
                <w:kern w:val="0"/>
                <w:sz w:val="18"/>
                <w:szCs w:val="18"/>
              </w:rPr>
            </w:pPr>
            <w:r w:rsidRPr="00535BDF">
              <w:rPr>
                <w:rFonts w:ascii="Arial" w:eastAsia="新細明體" w:hAnsi="Arial" w:cs="Arial"/>
                <w:color w:val="FFFFFF"/>
                <w:kern w:val="0"/>
                <w:sz w:val="18"/>
                <w:szCs w:val="18"/>
              </w:rPr>
              <w:t>廠商配合款</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應用經濟學系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蔡穎義</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102-2410-H-390-023-MY2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策略外包與</w:t>
            </w:r>
            <w:proofErr w:type="gramStart"/>
            <w:r w:rsidRPr="00D650DA">
              <w:rPr>
                <w:rFonts w:ascii="Arial" w:eastAsia="新細明體" w:hAnsi="Arial" w:cs="Arial"/>
                <w:color w:val="333333"/>
                <w:kern w:val="0"/>
                <w:sz w:val="18"/>
                <w:szCs w:val="18"/>
              </w:rPr>
              <w:t>最</w:t>
            </w:r>
            <w:proofErr w:type="gramEnd"/>
            <w:r w:rsidRPr="00D650DA">
              <w:rPr>
                <w:rFonts w:ascii="Arial" w:eastAsia="新細明體" w:hAnsi="Arial" w:cs="Arial"/>
                <w:color w:val="333333"/>
                <w:kern w:val="0"/>
                <w:sz w:val="18"/>
                <w:szCs w:val="18"/>
              </w:rPr>
              <w:t>適訂單規模之科技政策意義</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245000</w:t>
            </w:r>
          </w:p>
        </w:tc>
        <w:tc>
          <w:tcPr>
            <w:tcW w:w="520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2</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應用經濟學系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蔡宗秀</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102-2410-H-390-007-</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允許產業退場之</w:t>
            </w:r>
            <w:proofErr w:type="gramStart"/>
            <w:r w:rsidRPr="00D650DA">
              <w:rPr>
                <w:rFonts w:ascii="Arial" w:eastAsia="新細明體" w:hAnsi="Arial" w:cs="Arial"/>
                <w:color w:val="333333"/>
                <w:kern w:val="0"/>
                <w:sz w:val="18"/>
                <w:szCs w:val="18"/>
              </w:rPr>
              <w:t>最</w:t>
            </w:r>
            <w:proofErr w:type="gramEnd"/>
            <w:r w:rsidRPr="00D650DA">
              <w:rPr>
                <w:rFonts w:ascii="Arial" w:eastAsia="新細明體" w:hAnsi="Arial" w:cs="Arial"/>
                <w:color w:val="333333"/>
                <w:kern w:val="0"/>
                <w:sz w:val="18"/>
                <w:szCs w:val="18"/>
              </w:rPr>
              <w:t>適環境稅探討</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239000</w:t>
            </w:r>
          </w:p>
        </w:tc>
        <w:tc>
          <w:tcPr>
            <w:tcW w:w="520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應用經濟學系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許聖章</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台灣男性勞動供給變化之探討</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458000</w:t>
            </w:r>
          </w:p>
        </w:tc>
        <w:tc>
          <w:tcPr>
            <w:tcW w:w="520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應用經濟學系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耿紹</w:t>
            </w:r>
            <w:proofErr w:type="gramStart"/>
            <w:r w:rsidRPr="00D650DA">
              <w:rPr>
                <w:rFonts w:ascii="Arial" w:eastAsia="新細明體" w:hAnsi="Arial" w:cs="Arial"/>
                <w:color w:val="333333"/>
                <w:kern w:val="0"/>
                <w:sz w:val="18"/>
                <w:szCs w:val="18"/>
              </w:rPr>
              <w:t>勛</w:t>
            </w:r>
            <w:proofErr w:type="gramEnd"/>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102-2410-H-390-001-</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讀書時間</w:t>
            </w:r>
            <w:r w:rsidRPr="00D650DA">
              <w:rPr>
                <w:rFonts w:ascii="Arial" w:eastAsia="新細明體" w:hAnsi="Arial" w:cs="Arial"/>
                <w:color w:val="333333"/>
                <w:kern w:val="0"/>
                <w:sz w:val="18"/>
                <w:szCs w:val="18"/>
              </w:rPr>
              <w:t xml:space="preserve">, </w:t>
            </w:r>
            <w:r w:rsidRPr="00D650DA">
              <w:rPr>
                <w:rFonts w:ascii="Arial" w:eastAsia="新細明體" w:hAnsi="Arial" w:cs="Arial"/>
                <w:color w:val="333333"/>
                <w:kern w:val="0"/>
                <w:sz w:val="18"/>
                <w:szCs w:val="18"/>
              </w:rPr>
              <w:t>上課缺席與課業成績之因果關係探討</w:t>
            </w:r>
            <w:r w:rsidRPr="00D650DA">
              <w:rPr>
                <w:rFonts w:ascii="Arial" w:eastAsia="新細明體" w:hAnsi="Arial" w:cs="Arial"/>
                <w:color w:val="333333"/>
                <w:kern w:val="0"/>
                <w:sz w:val="18"/>
                <w:szCs w:val="18"/>
              </w:rPr>
              <w:t>:</w:t>
            </w:r>
            <w:r w:rsidRPr="00D650DA">
              <w:rPr>
                <w:rFonts w:ascii="Arial" w:eastAsia="新細明體" w:hAnsi="Arial" w:cs="Arial"/>
                <w:color w:val="333333"/>
                <w:kern w:val="0"/>
                <w:sz w:val="18"/>
                <w:szCs w:val="18"/>
              </w:rPr>
              <w:t>以高雄大學為例</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416000</w:t>
            </w:r>
          </w:p>
        </w:tc>
        <w:tc>
          <w:tcPr>
            <w:tcW w:w="520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5</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應用經濟學系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王鳳生</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102-2410-H-390 -003-MY2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寡占競爭下經濟治理之課題研究</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848000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6</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亞太工商管理學系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proofErr w:type="gramStart"/>
            <w:r w:rsidRPr="00D650DA">
              <w:rPr>
                <w:rFonts w:ascii="Arial" w:eastAsia="新細明體" w:hAnsi="Arial" w:cs="Arial"/>
                <w:color w:val="333333"/>
                <w:kern w:val="0"/>
                <w:sz w:val="18"/>
                <w:szCs w:val="18"/>
              </w:rPr>
              <w:t>李亭林</w:t>
            </w:r>
            <w:proofErr w:type="gramEnd"/>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102-2410-H-390-033-</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供需維持、競爭績效與永續發展</w:t>
            </w:r>
            <w:proofErr w:type="gramStart"/>
            <w:r w:rsidRPr="00D650DA">
              <w:rPr>
                <w:rFonts w:ascii="Arial" w:eastAsia="新細明體" w:hAnsi="Arial" w:cs="Arial"/>
                <w:color w:val="333333"/>
                <w:kern w:val="0"/>
                <w:sz w:val="18"/>
                <w:szCs w:val="18"/>
              </w:rPr>
              <w:t>—</w:t>
            </w:r>
            <w:proofErr w:type="gramEnd"/>
            <w:r w:rsidRPr="00D650DA">
              <w:rPr>
                <w:rFonts w:ascii="Arial" w:eastAsia="新細明體" w:hAnsi="Arial" w:cs="Arial"/>
                <w:color w:val="333333"/>
                <w:kern w:val="0"/>
                <w:sz w:val="18"/>
                <w:szCs w:val="18"/>
              </w:rPr>
              <w:t>談太陽能光電到再生能源的系統動態模擬</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294000</w:t>
            </w:r>
          </w:p>
        </w:tc>
        <w:tc>
          <w:tcPr>
            <w:tcW w:w="5200" w:type="dxa"/>
            <w:gridSpan w:val="3"/>
            <w:vAlign w:val="center"/>
            <w:hideMark/>
          </w:tcPr>
          <w:p w:rsidR="00535BDF" w:rsidRDefault="00535BDF" w:rsidP="00BE5C3F">
            <w:pPr>
              <w:widowControl/>
              <w:rPr>
                <w:rFonts w:ascii="Times New Roman" w:hAnsi="Times New Roman" w:cs="Times New Roman" w:hint="eastAsia"/>
                <w:kern w:val="0"/>
                <w:sz w:val="20"/>
                <w:szCs w:val="20"/>
              </w:rPr>
            </w:pPr>
            <w:r w:rsidRPr="00D650DA">
              <w:rPr>
                <w:rFonts w:ascii="Times New Roman" w:eastAsia="Times New Roman" w:hAnsi="Times New Roman" w:cs="Times New Roman"/>
                <w:kern w:val="0"/>
                <w:sz w:val="20"/>
                <w:szCs w:val="20"/>
              </w:rPr>
              <w:t> </w:t>
            </w:r>
          </w:p>
          <w:p w:rsidR="00535BDF" w:rsidRDefault="00535BDF" w:rsidP="00BE5C3F">
            <w:pPr>
              <w:widowControl/>
              <w:rPr>
                <w:rFonts w:ascii="Times New Roman" w:hAnsi="Times New Roman" w:cs="Times New Roman" w:hint="eastAsia"/>
                <w:kern w:val="0"/>
                <w:sz w:val="20"/>
                <w:szCs w:val="20"/>
              </w:rPr>
            </w:pPr>
          </w:p>
          <w:p w:rsidR="00535BDF" w:rsidRDefault="00535BDF" w:rsidP="00BE5C3F">
            <w:pPr>
              <w:widowControl/>
              <w:rPr>
                <w:rFonts w:ascii="Times New Roman" w:hAnsi="Times New Roman" w:cs="Times New Roman" w:hint="eastAsia"/>
                <w:kern w:val="0"/>
                <w:sz w:val="20"/>
                <w:szCs w:val="20"/>
              </w:rPr>
            </w:pPr>
          </w:p>
          <w:p w:rsidR="00535BDF" w:rsidRDefault="00535BDF" w:rsidP="00BE5C3F">
            <w:pPr>
              <w:widowControl/>
              <w:rPr>
                <w:rFonts w:ascii="Times New Roman" w:hAnsi="Times New Roman" w:cs="Times New Roman" w:hint="eastAsia"/>
                <w:kern w:val="0"/>
                <w:sz w:val="20"/>
                <w:szCs w:val="20"/>
              </w:rPr>
            </w:pPr>
          </w:p>
          <w:p w:rsidR="00535BDF" w:rsidRDefault="00535BDF" w:rsidP="00BE5C3F">
            <w:pPr>
              <w:widowControl/>
              <w:rPr>
                <w:rFonts w:ascii="Times New Roman" w:hAnsi="Times New Roman" w:cs="Times New Roman" w:hint="eastAsia"/>
                <w:kern w:val="0"/>
                <w:sz w:val="20"/>
                <w:szCs w:val="20"/>
              </w:rPr>
            </w:pPr>
          </w:p>
          <w:p w:rsidR="00535BDF" w:rsidRDefault="00535BDF" w:rsidP="00BE5C3F">
            <w:pPr>
              <w:widowControl/>
              <w:rPr>
                <w:rFonts w:ascii="Times New Roman" w:hAnsi="Times New Roman" w:cs="Times New Roman" w:hint="eastAsia"/>
                <w:kern w:val="0"/>
                <w:sz w:val="20"/>
                <w:szCs w:val="20"/>
              </w:rPr>
            </w:pPr>
          </w:p>
          <w:p w:rsidR="00535BDF" w:rsidRPr="00535BDF" w:rsidRDefault="00535BDF" w:rsidP="00BE5C3F">
            <w:pPr>
              <w:widowControl/>
              <w:rPr>
                <w:rFonts w:ascii="Times New Roman" w:hAnsi="Times New Roman" w:cs="Times New Roman" w:hint="eastAsia"/>
                <w:kern w:val="0"/>
                <w:sz w:val="20"/>
                <w:szCs w:val="20"/>
              </w:rPr>
            </w:pP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7</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亞太工商管理學系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劉信賢</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102-2410-H-390-027-MY2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數值效果對升級及購買意願的影響</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681000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8</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亞太工商管理學系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陳一民</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102-2410-H-390-022-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策略比擬角度初探專利戰之競爭動態</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413000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9</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亞太工商管理學系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黃英忠</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102-2410-H-390-021-SSS</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在家族企業中主管部屬關係品質差異對員工建言的影響</w:t>
            </w:r>
            <w:r w:rsidRPr="00D650DA">
              <w:rPr>
                <w:rFonts w:ascii="Arial" w:eastAsia="新細明體" w:hAnsi="Arial" w:cs="Arial"/>
                <w:color w:val="333333"/>
                <w:kern w:val="0"/>
                <w:sz w:val="18"/>
                <w:szCs w:val="18"/>
              </w:rPr>
              <w:t>-</w:t>
            </w:r>
            <w:r w:rsidRPr="00D650DA">
              <w:rPr>
                <w:rFonts w:ascii="Arial" w:eastAsia="新細明體" w:hAnsi="Arial" w:cs="Arial"/>
                <w:color w:val="333333"/>
                <w:kern w:val="0"/>
                <w:sz w:val="18"/>
                <w:szCs w:val="18"/>
              </w:rPr>
              <w:t>仁慈領導與心理資本的調節效果</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659000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10</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亞太工商管理學系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陳宜伶</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102-2410-H-390-011-</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政治關聯、公司治理與盈餘品質</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367000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w:t>
            </w:r>
            <w:r>
              <w:rPr>
                <w:rFonts w:ascii="Arial" w:eastAsia="新細明體" w:hAnsi="Arial" w:cs="Arial" w:hint="eastAsia"/>
                <w:color w:val="333333"/>
                <w:kern w:val="0"/>
                <w:sz w:val="18"/>
                <w:szCs w:val="18"/>
              </w:rPr>
              <w:t>1</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蔡怡純</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102-2628-H-390-001-</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貨幣流動性與房價泡沫</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530000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12</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蔡明憲</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102-2410-H-390-015-</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房屋的清算期間與期望機會成本之分析</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400000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13</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proofErr w:type="gramStart"/>
            <w:r w:rsidRPr="00D650DA">
              <w:rPr>
                <w:rFonts w:ascii="Arial" w:eastAsia="新細明體" w:hAnsi="Arial" w:cs="Arial"/>
                <w:color w:val="333333"/>
                <w:kern w:val="0"/>
                <w:sz w:val="18"/>
                <w:szCs w:val="18"/>
              </w:rPr>
              <w:t>余歆</w:t>
            </w:r>
            <w:proofErr w:type="gramEnd"/>
            <w:r w:rsidRPr="00D650DA">
              <w:rPr>
                <w:rFonts w:ascii="Arial" w:eastAsia="新細明體" w:hAnsi="Arial" w:cs="Arial"/>
                <w:color w:val="333333"/>
                <w:kern w:val="0"/>
                <w:sz w:val="18"/>
                <w:szCs w:val="18"/>
              </w:rPr>
              <w:t>儀</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102-2410-H-390-014-</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從股利折現模型和波動性風險解析破產風險</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491000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14</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黃一祥</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102-2410-H-390-013-</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股票的基本面價值、錯誤評價及公司的資本投資：台灣股市之證據</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409000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w:t>
            </w:r>
            <w:r w:rsidRPr="00D650DA">
              <w:rPr>
                <w:rFonts w:ascii="Arial" w:eastAsia="新細明體" w:hAnsi="Arial" w:cs="Arial"/>
                <w:color w:val="333333"/>
                <w:kern w:val="0"/>
                <w:sz w:val="18"/>
                <w:szCs w:val="18"/>
              </w:rPr>
              <w:t>5</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陳怡凱</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102-2410-H-390-012 -</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多角化與公司治理的關係研究</w:t>
            </w:r>
            <w:r w:rsidRPr="00D650DA">
              <w:rPr>
                <w:rFonts w:ascii="Arial" w:eastAsia="新細明體" w:hAnsi="Arial" w:cs="Arial"/>
                <w:color w:val="333333"/>
                <w:kern w:val="0"/>
                <w:sz w:val="18"/>
                <w:szCs w:val="18"/>
              </w:rPr>
              <w:t>--</w:t>
            </w:r>
            <w:r w:rsidRPr="00D650DA">
              <w:rPr>
                <w:rFonts w:ascii="Arial" w:eastAsia="新細明體" w:hAnsi="Arial" w:cs="Arial"/>
                <w:color w:val="333333"/>
                <w:kern w:val="0"/>
                <w:sz w:val="18"/>
                <w:szCs w:val="18"/>
              </w:rPr>
              <w:t>全球銀行實證</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370000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w:t>
            </w:r>
            <w:r w:rsidRPr="00D650DA">
              <w:rPr>
                <w:rFonts w:ascii="Arial" w:eastAsia="新細明體" w:hAnsi="Arial" w:cs="Arial"/>
                <w:color w:val="333333"/>
                <w:kern w:val="0"/>
                <w:sz w:val="18"/>
                <w:szCs w:val="18"/>
              </w:rPr>
              <w:t>6</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黃旭輝</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102-2410-H-390-010-</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股權</w:t>
            </w:r>
            <w:proofErr w:type="gramStart"/>
            <w:r w:rsidRPr="00D650DA">
              <w:rPr>
                <w:rFonts w:ascii="Arial" w:eastAsia="新細明體" w:hAnsi="Arial" w:cs="Arial"/>
                <w:color w:val="333333"/>
                <w:kern w:val="0"/>
                <w:sz w:val="18"/>
                <w:szCs w:val="18"/>
              </w:rPr>
              <w:t>私募對公司</w:t>
            </w:r>
            <w:proofErr w:type="gramEnd"/>
            <w:r w:rsidRPr="00D650DA">
              <w:rPr>
                <w:rFonts w:ascii="Arial" w:eastAsia="新細明體" w:hAnsi="Arial" w:cs="Arial"/>
                <w:color w:val="333333"/>
                <w:kern w:val="0"/>
                <w:sz w:val="18"/>
                <w:szCs w:val="18"/>
              </w:rPr>
              <w:t>風險與分析師財務預測的影響：公司治理、成長機會與資訊不對稱的影響</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377000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w:t>
            </w:r>
            <w:r w:rsidRPr="00D650DA">
              <w:rPr>
                <w:rFonts w:ascii="Arial" w:eastAsia="新細明體" w:hAnsi="Arial" w:cs="Arial"/>
                <w:color w:val="333333"/>
                <w:kern w:val="0"/>
                <w:sz w:val="18"/>
                <w:szCs w:val="18"/>
              </w:rPr>
              <w:t>7</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楊琬如</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102-2410-H-390-009-</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聰明還是運氣？共同基金投資人聰明錢效果與共同基金經理人選股行為關聯性之研究</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Default="00535BDF" w:rsidP="00BE5C3F">
            <w:pPr>
              <w:widowControl/>
              <w:spacing w:before="150" w:after="75"/>
              <w:rPr>
                <w:rFonts w:ascii="Arial" w:eastAsia="新細明體" w:hAnsi="Arial" w:cs="Arial" w:hint="eastAsia"/>
                <w:color w:val="333333"/>
                <w:kern w:val="0"/>
                <w:sz w:val="18"/>
                <w:szCs w:val="18"/>
              </w:rPr>
            </w:pPr>
            <w:r w:rsidRPr="00D650DA">
              <w:rPr>
                <w:rFonts w:ascii="Arial" w:eastAsia="新細明體" w:hAnsi="Arial" w:cs="Arial"/>
                <w:color w:val="333333"/>
                <w:kern w:val="0"/>
                <w:sz w:val="18"/>
                <w:szCs w:val="18"/>
              </w:rPr>
              <w:t>455000</w:t>
            </w: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Pr="00D650DA" w:rsidRDefault="00535BDF" w:rsidP="00BE5C3F">
            <w:pPr>
              <w:widowControl/>
              <w:spacing w:before="150" w:after="75"/>
              <w:rPr>
                <w:rFonts w:ascii="Arial" w:eastAsia="新細明體" w:hAnsi="Arial" w:cs="Arial"/>
                <w:color w:val="333333"/>
                <w:kern w:val="0"/>
                <w:sz w:val="18"/>
                <w:szCs w:val="18"/>
              </w:rPr>
            </w:pP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1</w:t>
            </w:r>
            <w:r w:rsidRPr="00D650DA">
              <w:rPr>
                <w:rFonts w:ascii="Arial" w:eastAsia="新細明體" w:hAnsi="Arial" w:cs="Arial"/>
                <w:color w:val="333333"/>
                <w:kern w:val="0"/>
                <w:sz w:val="18"/>
                <w:szCs w:val="18"/>
              </w:rPr>
              <w:t>8</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張志向</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102-2410-H-390-008-MY2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標準與行為財務學論點在解釋投資人從眾的可行性：市場成熟度、</w:t>
            </w:r>
            <w:proofErr w:type="gramStart"/>
            <w:r w:rsidRPr="00D650DA">
              <w:rPr>
                <w:rFonts w:ascii="Arial" w:eastAsia="新細明體" w:hAnsi="Arial" w:cs="Arial"/>
                <w:color w:val="333333"/>
                <w:kern w:val="0"/>
                <w:sz w:val="18"/>
                <w:szCs w:val="18"/>
              </w:rPr>
              <w:t>牛熊市</w:t>
            </w:r>
            <w:proofErr w:type="gramEnd"/>
            <w:r w:rsidRPr="00D650DA">
              <w:rPr>
                <w:rFonts w:ascii="Arial" w:eastAsia="新細明體" w:hAnsi="Arial" w:cs="Arial"/>
                <w:color w:val="333333"/>
                <w:kern w:val="0"/>
                <w:sz w:val="18"/>
                <w:szCs w:val="18"/>
              </w:rPr>
              <w:t>循環、動能策略與產業從眾</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489000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1</w:t>
            </w:r>
            <w:r w:rsidRPr="00D650DA">
              <w:rPr>
                <w:rFonts w:ascii="Arial" w:eastAsia="新細明體" w:hAnsi="Arial" w:cs="Arial"/>
                <w:color w:val="333333"/>
                <w:kern w:val="0"/>
                <w:sz w:val="18"/>
                <w:szCs w:val="18"/>
              </w:rPr>
              <w:t>9</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王文楷</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102-2410-H-390-006-</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多黨政治對政府分配資源之分析</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327000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r w:rsidRPr="00D650DA">
              <w:rPr>
                <w:rFonts w:ascii="Times New Roman" w:eastAsia="Times New Roman" w:hAnsi="Times New Roman" w:cs="Times New Roman"/>
                <w:kern w:val="0"/>
                <w:sz w:val="20"/>
                <w:szCs w:val="20"/>
              </w:rPr>
              <w:t> </w:t>
            </w: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20</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高蘭芬</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101-2410-H-390-015-MY2</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長期性資產減損宣告之產業效果</w:t>
            </w:r>
            <w:r w:rsidRPr="00D650DA">
              <w:rPr>
                <w:rFonts w:ascii="Arial" w:eastAsia="新細明體" w:hAnsi="Arial" w:cs="Arial"/>
                <w:color w:val="333333"/>
                <w:kern w:val="0"/>
                <w:sz w:val="18"/>
                <w:szCs w:val="18"/>
              </w:rPr>
              <w:t>(1/2)</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462"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600000</w:t>
            </w:r>
          </w:p>
        </w:tc>
        <w:tc>
          <w:tcPr>
            <w:tcW w:w="5200" w:type="dxa"/>
            <w:gridSpan w:val="3"/>
            <w:vAlign w:val="center"/>
            <w:hideMark/>
          </w:tcPr>
          <w:p w:rsidR="00535BDF" w:rsidRPr="00D650DA" w:rsidRDefault="00535BDF" w:rsidP="00BE5C3F">
            <w:pPr>
              <w:widowControl/>
              <w:rPr>
                <w:rFonts w:ascii="Times New Roman" w:eastAsia="Times New Roman" w:hAnsi="Times New Roman" w:cs="Times New Roman"/>
                <w:kern w:val="0"/>
                <w:sz w:val="20"/>
                <w:szCs w:val="20"/>
              </w:rPr>
            </w:pPr>
          </w:p>
        </w:tc>
      </w:tr>
      <w:tr w:rsidR="00535BDF" w:rsidRPr="00D650DA" w:rsidTr="00535BDF">
        <w:tblPrEx>
          <w:shd w:val="clear" w:color="auto" w:fill="auto"/>
        </w:tblPrEx>
        <w:tc>
          <w:tcPr>
            <w:tcW w:w="44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21</w:t>
            </w:r>
          </w:p>
        </w:tc>
        <w:tc>
          <w:tcPr>
            <w:tcW w:w="541"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742"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金融管理學系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蔡怡純</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101-2410-H-390 -029 -MY3</w:t>
            </w:r>
          </w:p>
        </w:tc>
        <w:tc>
          <w:tcPr>
            <w:tcW w:w="1843"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房價向下僵固性</w:t>
            </w:r>
            <w:r w:rsidRPr="00D650DA">
              <w:rPr>
                <w:rFonts w:ascii="Arial" w:eastAsia="新細明體" w:hAnsi="Arial" w:cs="Arial"/>
                <w:color w:val="333333"/>
                <w:kern w:val="0"/>
                <w:sz w:val="18"/>
                <w:szCs w:val="18"/>
              </w:rPr>
              <w:t xml:space="preserve">: </w:t>
            </w:r>
            <w:r w:rsidRPr="00D650DA">
              <w:rPr>
                <w:rFonts w:ascii="Arial" w:eastAsia="新細明體" w:hAnsi="Arial" w:cs="Arial"/>
                <w:color w:val="333333"/>
                <w:kern w:val="0"/>
                <w:sz w:val="18"/>
                <w:szCs w:val="18"/>
              </w:rPr>
              <w:t>理論與實證、國內與國外、單變量與</w:t>
            </w:r>
            <w:proofErr w:type="gramStart"/>
            <w:r w:rsidRPr="00D650DA">
              <w:rPr>
                <w:rFonts w:ascii="Arial" w:eastAsia="新細明體" w:hAnsi="Arial" w:cs="Arial"/>
                <w:color w:val="333333"/>
                <w:kern w:val="0"/>
                <w:sz w:val="18"/>
                <w:szCs w:val="18"/>
              </w:rPr>
              <w:t>多變量</w:t>
            </w:r>
            <w:proofErr w:type="gramEnd"/>
            <w:r w:rsidRPr="00D650DA">
              <w:rPr>
                <w:rFonts w:ascii="Arial" w:eastAsia="新細明體" w:hAnsi="Arial" w:cs="Arial"/>
                <w:color w:val="333333"/>
                <w:kern w:val="0"/>
                <w:sz w:val="18"/>
                <w:szCs w:val="18"/>
              </w:rPr>
              <w:t>的探討</w:t>
            </w:r>
          </w:p>
        </w:tc>
        <w:tc>
          <w:tcPr>
            <w:tcW w:w="1134"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6662" w:type="dxa"/>
            <w:gridSpan w:val="6"/>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676000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22</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蕭漢威</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102-2625-M-390-001-</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應用影像與先進感測技術於結構與邊坡災害之即時監測與快速</w:t>
            </w:r>
            <w:proofErr w:type="gramStart"/>
            <w:r w:rsidRPr="00D650DA">
              <w:rPr>
                <w:rFonts w:ascii="Arial" w:eastAsia="新細明體" w:hAnsi="Arial" w:cs="Arial"/>
                <w:color w:val="333333"/>
                <w:kern w:val="0"/>
                <w:sz w:val="18"/>
                <w:szCs w:val="18"/>
              </w:rPr>
              <w:t>勘</w:t>
            </w:r>
            <w:proofErr w:type="gramEnd"/>
            <w:r w:rsidRPr="00D650DA">
              <w:rPr>
                <w:rFonts w:ascii="Arial" w:eastAsia="新細明體" w:hAnsi="Arial" w:cs="Arial"/>
                <w:color w:val="333333"/>
                <w:kern w:val="0"/>
                <w:sz w:val="18"/>
                <w:szCs w:val="18"/>
              </w:rPr>
              <w:t>災</w:t>
            </w:r>
            <w:proofErr w:type="gramStart"/>
            <w:r w:rsidRPr="00D650DA">
              <w:rPr>
                <w:rFonts w:ascii="Arial" w:eastAsia="新細明體" w:hAnsi="Arial" w:cs="Arial"/>
                <w:color w:val="333333"/>
                <w:kern w:val="0"/>
                <w:sz w:val="18"/>
                <w:szCs w:val="18"/>
              </w:rPr>
              <w:t>技術－子計畫</w:t>
            </w:r>
            <w:proofErr w:type="gramEnd"/>
            <w:r w:rsidRPr="00D650DA">
              <w:rPr>
                <w:rFonts w:ascii="Arial" w:eastAsia="新細明體" w:hAnsi="Arial" w:cs="Arial"/>
                <w:color w:val="333333"/>
                <w:kern w:val="0"/>
                <w:sz w:val="18"/>
                <w:szCs w:val="18"/>
              </w:rPr>
              <w:t>:</w:t>
            </w:r>
            <w:r w:rsidRPr="00D650DA">
              <w:rPr>
                <w:rFonts w:ascii="Arial" w:eastAsia="新細明體" w:hAnsi="Arial" w:cs="Arial"/>
                <w:color w:val="333333"/>
                <w:kern w:val="0"/>
                <w:sz w:val="18"/>
                <w:szCs w:val="18"/>
              </w:rPr>
              <w:t>建構無人自動巡航飛行載具空拍監測技術之研究</w:t>
            </w:r>
            <w:r w:rsidRPr="00D650DA">
              <w:rPr>
                <w:rFonts w:ascii="Arial" w:eastAsia="新細明體" w:hAnsi="Arial" w:cs="Arial"/>
                <w:color w:val="333333"/>
                <w:kern w:val="0"/>
                <w:sz w:val="18"/>
                <w:szCs w:val="18"/>
              </w:rPr>
              <w:t>(I)</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832000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lastRenderedPageBreak/>
              <w:t>2</w:t>
            </w:r>
            <w:r>
              <w:rPr>
                <w:rFonts w:ascii="Arial" w:eastAsia="新細明體" w:hAnsi="Arial" w:cs="Arial" w:hint="eastAsia"/>
                <w:color w:val="333333"/>
                <w:kern w:val="0"/>
                <w:sz w:val="18"/>
                <w:szCs w:val="18"/>
              </w:rPr>
              <w:t>3</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王凱</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102-2410-H-390-031-MY2</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行動加值服務持續採用意願影響因素：產品主導邏輯觀點驗證、服務體驗衡量模型建構、以及服務主導邏輯之整合架構</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657000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24</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楊書成</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102-2410-H-390-030-MY2</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proofErr w:type="gramStart"/>
            <w:r w:rsidRPr="00D650DA">
              <w:rPr>
                <w:rFonts w:ascii="Arial" w:eastAsia="新細明體" w:hAnsi="Arial" w:cs="Arial"/>
                <w:color w:val="333333"/>
                <w:kern w:val="0"/>
                <w:sz w:val="18"/>
                <w:szCs w:val="18"/>
              </w:rPr>
              <w:t>臉書廣告</w:t>
            </w:r>
            <w:proofErr w:type="gramEnd"/>
            <w:r w:rsidRPr="00D650DA">
              <w:rPr>
                <w:rFonts w:ascii="Arial" w:eastAsia="新細明體" w:hAnsi="Arial" w:cs="Arial"/>
                <w:color w:val="333333"/>
                <w:kern w:val="0"/>
                <w:sz w:val="18"/>
                <w:szCs w:val="18"/>
              </w:rPr>
              <w:t>效果與粉絲專頁態度之影響因素</w:t>
            </w:r>
            <w:r w:rsidRPr="00D650DA">
              <w:rPr>
                <w:rFonts w:ascii="Arial" w:eastAsia="新細明體" w:hAnsi="Arial" w:cs="Arial"/>
                <w:color w:val="333333"/>
                <w:kern w:val="0"/>
                <w:sz w:val="18"/>
                <w:szCs w:val="18"/>
              </w:rPr>
              <w:t xml:space="preserve"> - </w:t>
            </w:r>
            <w:r w:rsidRPr="00D650DA">
              <w:rPr>
                <w:rFonts w:ascii="Arial" w:eastAsia="新細明體" w:hAnsi="Arial" w:cs="Arial"/>
                <w:color w:val="333333"/>
                <w:kern w:val="0"/>
                <w:sz w:val="18"/>
                <w:szCs w:val="18"/>
              </w:rPr>
              <w:t>探索性與驗證性研究</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596000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25</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郭英峰</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102-2410-H-390-029-MY2</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proofErr w:type="gramStart"/>
            <w:r w:rsidRPr="00D650DA">
              <w:rPr>
                <w:rFonts w:ascii="Arial" w:eastAsia="新細明體" w:hAnsi="Arial" w:cs="Arial"/>
                <w:color w:val="333333"/>
                <w:kern w:val="0"/>
                <w:sz w:val="18"/>
                <w:szCs w:val="18"/>
              </w:rPr>
              <w:t>線上品牌</w:t>
            </w:r>
            <w:proofErr w:type="gramEnd"/>
            <w:r w:rsidRPr="00D650DA">
              <w:rPr>
                <w:rFonts w:ascii="Arial" w:eastAsia="新細明體" w:hAnsi="Arial" w:cs="Arial"/>
                <w:color w:val="333333"/>
                <w:kern w:val="0"/>
                <w:sz w:val="18"/>
                <w:szCs w:val="18"/>
              </w:rPr>
              <w:t>社群成員對立品牌忠誠度模式之建構與驗證：品牌承諾、自我品牌連結、情緒之觀點</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725000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26</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吳建興</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102-2410-H-390-026-</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知識創新與科技適配模式之分析與驗證：探討認知特性之干擾效果</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364000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27</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楊新章</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102-2221-E-390-016-</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群眾外包探</w:t>
            </w:r>
            <w:proofErr w:type="gramStart"/>
            <w:r w:rsidRPr="00D650DA">
              <w:rPr>
                <w:rFonts w:ascii="Arial" w:eastAsia="新細明體" w:hAnsi="Arial" w:cs="Arial"/>
                <w:color w:val="333333"/>
                <w:kern w:val="0"/>
                <w:sz w:val="18"/>
                <w:szCs w:val="18"/>
              </w:rPr>
              <w:t>勘</w:t>
            </w:r>
            <w:proofErr w:type="gramEnd"/>
            <w:r w:rsidRPr="00D650DA">
              <w:rPr>
                <w:rFonts w:ascii="Arial" w:eastAsia="新細明體" w:hAnsi="Arial" w:cs="Arial"/>
                <w:color w:val="333333"/>
                <w:kern w:val="0"/>
                <w:sz w:val="18"/>
                <w:szCs w:val="18"/>
              </w:rPr>
              <w:t>技術之研究</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682000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28</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林杏子</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101-2410-H-390-004-MY3</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從隱私矛盾現象探討</w:t>
            </w:r>
            <w:proofErr w:type="spellStart"/>
            <w:r w:rsidRPr="00D650DA">
              <w:rPr>
                <w:rFonts w:ascii="Arial" w:eastAsia="新細明體" w:hAnsi="Arial" w:cs="Arial"/>
                <w:color w:val="333333"/>
                <w:kern w:val="0"/>
                <w:sz w:val="18"/>
                <w:szCs w:val="18"/>
              </w:rPr>
              <w:t>Facebook</w:t>
            </w:r>
            <w:proofErr w:type="spellEnd"/>
            <w:r w:rsidRPr="00D650DA">
              <w:rPr>
                <w:rFonts w:ascii="Arial" w:eastAsia="新細明體" w:hAnsi="Arial" w:cs="Arial"/>
                <w:color w:val="333333"/>
                <w:kern w:val="0"/>
                <w:sz w:val="18"/>
                <w:szCs w:val="18"/>
              </w:rPr>
              <w:t>使用者的隱私欺瞞與隱私兩難</w:t>
            </w:r>
            <w:r w:rsidRPr="00D650DA">
              <w:rPr>
                <w:rFonts w:ascii="Arial" w:eastAsia="新細明體" w:hAnsi="Arial" w:cs="Arial"/>
                <w:color w:val="333333"/>
                <w:kern w:val="0"/>
                <w:sz w:val="18"/>
                <w:szCs w:val="18"/>
              </w:rPr>
              <w:t>(1/3)</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650000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29</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丁一賢</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101-2410-H-390-003-MY2</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以社會網絡分析為基礎的社會搜尋技術之研究</w:t>
            </w:r>
            <w:r w:rsidRPr="00D650DA">
              <w:rPr>
                <w:rFonts w:ascii="Arial" w:eastAsia="新細明體" w:hAnsi="Arial" w:cs="Arial"/>
                <w:color w:val="333333"/>
                <w:kern w:val="0"/>
                <w:sz w:val="18"/>
                <w:szCs w:val="18"/>
              </w:rPr>
              <w:t>(1/2)</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601000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30</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王學亮</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101-2221-E-390 -028 -MY3</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雲端運算中最短路徑隱私與搜尋最近鄰居地點隱私之探討</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104-07-31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765000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31</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資訊管理學系</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陶幼慧</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100-2410-H-390-009-MY3</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企業經營管理模擬遊戲採用之深度探討</w:t>
            </w:r>
            <w:r w:rsidRPr="00D650DA">
              <w:rPr>
                <w:rFonts w:ascii="Arial" w:eastAsia="新細明體" w:hAnsi="Arial" w:cs="Arial"/>
                <w:color w:val="333333"/>
                <w:kern w:val="0"/>
                <w:sz w:val="18"/>
                <w:szCs w:val="18"/>
              </w:rPr>
              <w:t xml:space="preserve"> - </w:t>
            </w:r>
            <w:r w:rsidRPr="00D650DA">
              <w:rPr>
                <w:rFonts w:ascii="Arial" w:eastAsia="新細明體" w:hAnsi="Arial" w:cs="Arial"/>
                <w:color w:val="333333"/>
                <w:kern w:val="0"/>
                <w:sz w:val="18"/>
                <w:szCs w:val="18"/>
              </w:rPr>
              <w:t>教師採用關鍵、師生認知對照及兩岸學生認知之文化調節差異</w:t>
            </w:r>
            <w:r w:rsidRPr="00D650DA">
              <w:rPr>
                <w:rFonts w:ascii="Arial" w:eastAsia="新細明體" w:hAnsi="Arial" w:cs="Arial"/>
                <w:color w:val="333333"/>
                <w:kern w:val="0"/>
                <w:sz w:val="18"/>
                <w:szCs w:val="18"/>
              </w:rPr>
              <w:t>(3/3)</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602000</w:t>
            </w: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t>32</w:t>
            </w:r>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經營管理研究所</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李揚</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102-2410-H-390-032-</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多國籍企業之海外子公司績效之研究</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Default="00535BDF" w:rsidP="00BE5C3F">
            <w:pPr>
              <w:widowControl/>
              <w:spacing w:before="150" w:after="75"/>
              <w:rPr>
                <w:rFonts w:ascii="Arial" w:eastAsia="新細明體" w:hAnsi="Arial" w:cs="Arial" w:hint="eastAsia"/>
                <w:color w:val="333333"/>
                <w:kern w:val="0"/>
                <w:sz w:val="18"/>
                <w:szCs w:val="18"/>
              </w:rPr>
            </w:pPr>
            <w:r w:rsidRPr="00D650DA">
              <w:rPr>
                <w:rFonts w:ascii="Arial" w:eastAsia="新細明體" w:hAnsi="Arial" w:cs="Arial"/>
                <w:color w:val="333333"/>
                <w:kern w:val="0"/>
                <w:sz w:val="18"/>
                <w:szCs w:val="18"/>
              </w:rPr>
              <w:t>344000</w:t>
            </w: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Default="00535BDF" w:rsidP="00BE5C3F">
            <w:pPr>
              <w:widowControl/>
              <w:spacing w:before="150" w:after="75"/>
              <w:rPr>
                <w:rFonts w:ascii="Arial" w:eastAsia="新細明體" w:hAnsi="Arial" w:cs="Arial" w:hint="eastAsia"/>
                <w:color w:val="333333"/>
                <w:kern w:val="0"/>
                <w:sz w:val="18"/>
                <w:szCs w:val="18"/>
              </w:rPr>
            </w:pPr>
          </w:p>
          <w:p w:rsidR="00535BDF" w:rsidRPr="00D650DA" w:rsidRDefault="00535BDF" w:rsidP="00BE5C3F">
            <w:pPr>
              <w:widowControl/>
              <w:spacing w:before="150" w:after="75"/>
              <w:rPr>
                <w:rFonts w:ascii="Arial" w:eastAsia="新細明體" w:hAnsi="Arial" w:cs="Arial"/>
                <w:color w:val="333333"/>
                <w:kern w:val="0"/>
                <w:sz w:val="18"/>
                <w:szCs w:val="18"/>
              </w:rPr>
            </w:pPr>
          </w:p>
        </w:tc>
      </w:tr>
      <w:tr w:rsidR="00535BDF" w:rsidRPr="00D650DA" w:rsidTr="00535BDF">
        <w:tblPrEx>
          <w:shd w:val="clear" w:color="auto" w:fill="auto"/>
        </w:tblPrEx>
        <w:trPr>
          <w:gridAfter w:val="2"/>
          <w:wAfter w:w="5057" w:type="dxa"/>
        </w:trPr>
        <w:tc>
          <w:tcPr>
            <w:tcW w:w="4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Pr>
                <w:rFonts w:ascii="Arial" w:eastAsia="新細明體" w:hAnsi="Arial" w:cs="Arial" w:hint="eastAsia"/>
                <w:color w:val="333333"/>
                <w:kern w:val="0"/>
                <w:sz w:val="18"/>
                <w:szCs w:val="18"/>
              </w:rPr>
              <w:lastRenderedPageBreak/>
              <w:t>33</w:t>
            </w:r>
            <w:bookmarkStart w:id="0" w:name="_GoBack"/>
            <w:bookmarkEnd w:id="0"/>
          </w:p>
        </w:tc>
        <w:tc>
          <w:tcPr>
            <w:tcW w:w="560" w:type="dxa"/>
            <w:gridSpan w:val="3"/>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w:t>
            </w:r>
          </w:p>
        </w:tc>
        <w:tc>
          <w:tcPr>
            <w:tcW w:w="686"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經營管理研究所</w:t>
            </w:r>
          </w:p>
        </w:tc>
        <w:tc>
          <w:tcPr>
            <w:tcW w:w="517"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楊雅博</w:t>
            </w:r>
          </w:p>
        </w:tc>
        <w:tc>
          <w:tcPr>
            <w:tcW w:w="1984"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102-2410-H-390-004-</w:t>
            </w:r>
          </w:p>
        </w:tc>
        <w:tc>
          <w:tcPr>
            <w:tcW w:w="1838" w:type="dxa"/>
            <w:gridSpan w:val="2"/>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成本不對稱與技術授權相關議題</w:t>
            </w:r>
          </w:p>
        </w:tc>
        <w:tc>
          <w:tcPr>
            <w:tcW w:w="1139" w:type="dxa"/>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102-08-01</w:t>
            </w:r>
            <w:r w:rsidRPr="00D650DA">
              <w:rPr>
                <w:rFonts w:ascii="Arial" w:eastAsia="新細明體" w:hAnsi="Arial" w:cs="Arial"/>
                <w:color w:val="333333"/>
                <w:kern w:val="0"/>
                <w:sz w:val="18"/>
                <w:szCs w:val="18"/>
              </w:rPr>
              <w:br/>
              <w:t>103-07-31</w:t>
            </w:r>
          </w:p>
        </w:tc>
        <w:tc>
          <w:tcPr>
            <w:tcW w:w="1605" w:type="dxa"/>
            <w:gridSpan w:val="4"/>
            <w:tcBorders>
              <w:bottom w:val="single" w:sz="6" w:space="0" w:color="ECECEC"/>
            </w:tcBorders>
            <w:tcMar>
              <w:top w:w="120" w:type="dxa"/>
              <w:left w:w="120" w:type="dxa"/>
              <w:bottom w:w="120" w:type="dxa"/>
              <w:right w:w="120" w:type="dxa"/>
            </w:tcMar>
            <w:hideMark/>
          </w:tcPr>
          <w:p w:rsidR="00535BDF" w:rsidRPr="00D650DA" w:rsidRDefault="00535BDF" w:rsidP="00BE5C3F">
            <w:pPr>
              <w:widowControl/>
              <w:spacing w:before="150" w:after="75"/>
              <w:rPr>
                <w:rFonts w:ascii="Arial" w:eastAsia="新細明體" w:hAnsi="Arial" w:cs="Arial"/>
                <w:color w:val="333333"/>
                <w:kern w:val="0"/>
                <w:sz w:val="18"/>
                <w:szCs w:val="18"/>
              </w:rPr>
            </w:pPr>
            <w:r w:rsidRPr="00D650DA">
              <w:rPr>
                <w:rFonts w:ascii="Arial" w:eastAsia="新細明體" w:hAnsi="Arial" w:cs="Arial"/>
                <w:color w:val="333333"/>
                <w:kern w:val="0"/>
                <w:sz w:val="18"/>
                <w:szCs w:val="18"/>
              </w:rPr>
              <w:t>393000</w:t>
            </w:r>
          </w:p>
        </w:tc>
      </w:tr>
    </w:tbl>
    <w:p w:rsidR="00D3327F" w:rsidRDefault="00D3327F"/>
    <w:sectPr w:rsidR="00D3327F" w:rsidSect="00D3327F">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35BDF"/>
    <w:rsid w:val="00535BDF"/>
    <w:rsid w:val="00D332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27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698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1</cp:revision>
  <dcterms:created xsi:type="dcterms:W3CDTF">2014-05-21T08:09:00Z</dcterms:created>
  <dcterms:modified xsi:type="dcterms:W3CDTF">2014-05-21T08:14:00Z</dcterms:modified>
</cp:coreProperties>
</file>